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157" w:before="157" w:line="270" w:lineRule="auto"/>
        <w:ind/>
        <w:jc w:val="both"/>
        <w:rPr>
          <w:rFonts w:ascii="Arial" w:hAnsi="Arial" w:cs="Arial"/>
          <w:color w:val="000000" w:themeColor="text1"/>
          <w:sz w:val="48"/>
          <w:szCs w:val="48"/>
        </w:rPr>
      </w:pPr>
      <w:r>
        <w:rPr>
          <w:rFonts w:ascii="Arial" w:hAnsi="Arial" w:eastAsia="Arial" w:cs="Arial"/>
          <w:color w:val="000000" w:themeColor="text1"/>
          <w:sz w:val="48"/>
          <w:szCs w:val="48"/>
        </w:rPr>
      </w:r>
      <w:bookmarkStart w:id="0" w:name="x_dalis_netbird_vpn_integracija_s_200ae6"/>
      <w:r>
        <w:rPr>
          <w:rFonts w:ascii="Arial" w:hAnsi="Arial" w:eastAsia="Arial" w:cs="Arial"/>
          <w:b/>
          <w:color w:val="000000" w:themeColor="text1"/>
          <w:sz w:val="48"/>
          <w:szCs w:val="48"/>
        </w:rPr>
        <w:t xml:space="preserve">NETBIRD VPN INTEGRACIJA SU NGINX PROXY MANAGE</w:t>
      </w:r>
      <w:r>
        <w:rPr>
          <w:rFonts w:ascii="Arial" w:hAnsi="Arial" w:eastAsia="Arial" w:cs="Arial"/>
          <w:b/>
          <w:color w:val="000000" w:themeColor="text1"/>
          <w:sz w:val="48"/>
          <w:szCs w:val="48"/>
          <w:lang w:val="en-US"/>
        </w:rPr>
        <w:t xml:space="preserve">R IR OPNSENSE</w:t>
      </w:r>
      <w:bookmarkEnd w:id="0"/>
      <w:r>
        <w:rPr>
          <w:rFonts w:ascii="Arial" w:hAnsi="Arial" w:eastAsia="Arial" w:cs="Arial"/>
          <w:color w:val="000000" w:themeColor="text1"/>
          <w:sz w:val="48"/>
          <w:szCs w:val="48"/>
        </w:rPr>
      </w:r>
      <w:r>
        <w:rPr>
          <w:rFonts w:ascii="Arial" w:hAnsi="Arial" w:cs="Arial"/>
          <w:color w:val="000000" w:themeColor="text1"/>
          <w:sz w:val="48"/>
          <w:szCs w:val="48"/>
        </w:rPr>
      </w:r>
    </w:p>
    <w:p>
      <w:pPr>
        <w:pBdr/>
        <w:spacing w:after="210" w:line="360" w:lineRule="auto"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Šis </w:t>
      </w:r>
      <w:r>
        <w:rPr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gidas 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aprašo, kaip</w:t>
      </w:r>
      <w:r>
        <w:rPr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 self-hosted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 Netbird VPN control pan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</w:t>
      </w:r>
      <w:r>
        <w:rPr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l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 (dashboard, management, signal, relay) buvo integruotas su esamu Nginx Proxy Manager (NPM</w:t>
      </w:r>
      <w:r>
        <w:rPr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, kuris yra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 DMZ </w:t>
      </w:r>
      <w:r>
        <w:rPr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VLAN</w:t>
      </w:r>
      <w:r>
        <w:rPr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’e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, be papildomo Traefik konteinerio</w:t>
      </w:r>
      <w:r>
        <w:rPr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, kuris rekomenduojamas Netbird dokumentacijoje. Taip pat dokumentuojamas visos apra</w:t>
      </w:r>
      <w:r>
        <w:rPr>
          <w:rFonts w:ascii="Arial" w:hAnsi="Arial" w:eastAsia="Arial" w:cs="Arial"/>
          <w:color w:val="000000" w:themeColor="text1"/>
          <w:sz w:val="24"/>
          <w:szCs w:val="24"/>
          <w:lang w:val="lt-LT"/>
        </w:rPr>
        <w:t xml:space="preserve">šytos ugniasienės (anglų k. Firewall) taisyklės, jog konteineriai</w:t>
      </w:r>
      <w:r>
        <w:rPr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, esantys skirtintuose VLAN’uose,</w:t>
      </w:r>
      <w:r>
        <w:rPr>
          <w:rFonts w:ascii="Arial" w:hAnsi="Arial" w:eastAsia="Arial" w:cs="Arial"/>
          <w:color w:val="000000" w:themeColor="text1"/>
          <w:sz w:val="24"/>
          <w:szCs w:val="24"/>
          <w:lang w:val="lt-LT"/>
        </w:rPr>
        <w:t xml:space="preserve"> galėtų bendrauti tarpusavyje.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35"/>
        <w:pBdr/>
        <w:spacing/>
        <w:ind/>
        <w:jc w:val="both"/>
        <w:rPr>
          <w:color w:val="000000" w:themeColor="text1"/>
          <w14:ligatures w14:val="none"/>
        </w:rPr>
      </w:pPr>
      <w:r>
        <w:rPr>
          <w:color w:val="000000" w:themeColor="text1"/>
        </w:rPr>
      </w:r>
      <w:bookmarkStart w:id="1" w:name="bm_10_1_architektūros_sprendimas"/>
      <w:r>
        <w:rPr>
          <w:color w:val="000000" w:themeColor="text1"/>
        </w:rPr>
        <w:t xml:space="preserve">1</w:t>
      </w:r>
      <w:r>
        <w:rPr>
          <w:color w:val="000000" w:themeColor="text1"/>
          <w:lang w:val="en-US"/>
        </w:rPr>
        <w:t xml:space="preserve">.</w:t>
      </w:r>
      <w:r>
        <w:rPr>
          <w:color w:val="000000" w:themeColor="text1"/>
        </w:rPr>
        <w:t xml:space="preserve"> Architektūros sprendimas</w:t>
      </w:r>
      <w:bookmarkEnd w:id="1"/>
      <w:r>
        <w:rPr>
          <w:color w:val="000000" w:themeColor="text1"/>
        </w:rPr>
      </w:r>
      <w:r>
        <w:rPr>
          <w:color w:val="000000" w:themeColor="text1"/>
          <w14:ligatures w14:val="none"/>
        </w:rPr>
      </w:r>
    </w:p>
    <w:p>
      <w:pPr>
        <w:pBdr/>
        <w:spacing w:after="210" w:line="360" w:lineRule="auto"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Netbird LXC kontaineris yra priskirtas SERVERS VLAN'</w:t>
      </w:r>
      <w:r>
        <w:rPr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ui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(</w:t>
      </w:r>
      <w:r>
        <w:rPr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VM 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IP: 10.77.30.</w:t>
      </w:r>
      <w:r>
        <w:rPr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100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), o srautas iš interneto pasiekia jį </w:t>
      </w:r>
      <w:r>
        <w:rPr>
          <w:rFonts w:ascii="Arial" w:hAnsi="Arial" w:eastAsia="Arial" w:cs="Arial"/>
          <w:b w:val="0"/>
          <w:bCs w:val="0"/>
          <w:color w:val="000000" w:themeColor="text1"/>
          <w:sz w:val="24"/>
          <w:szCs w:val="24"/>
        </w:rPr>
        <w:t xml:space="preserve">per esamą Nginx Proxy manager’į, kuris yra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 DMZ segmente (</w:t>
      </w:r>
      <w:r>
        <w:rPr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VM 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IP: 10.77.40.</w:t>
      </w:r>
      <w:r>
        <w:rPr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100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), naudojant custom Nginx konfigūraciją. Atskiro Traefik konteinerio nenaudojama, nes esamas NPM su rankiniu gRPC konfigūravimu pasirodė pakankamas paprastam namų VPN naudojimui, kur nau</w:t>
      </w:r>
      <w:r>
        <w:rPr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d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o</w:t>
      </w:r>
      <w:r>
        <w:rPr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t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ojų kiekis yra mažas.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36"/>
        <w:pBdr/>
        <w:spacing/>
        <w:ind/>
        <w:jc w:val="both"/>
        <w:rPr>
          <w:color w:val="000000" w:themeColor="text1"/>
          <w14:ligatures w14:val="none"/>
        </w:rPr>
      </w:pPr>
      <w:r>
        <w:rPr>
          <w:color w:val="000000" w:themeColor="text1"/>
        </w:rPr>
      </w:r>
      <w:bookmarkStart w:id="2" w:name="bm_10_2_reikalingi_portai"/>
      <w:r>
        <w:rPr>
          <w:color w:val="000000" w:themeColor="text1"/>
        </w:rPr>
        <w:t xml:space="preserve">1.2 Reikalingi portai</w:t>
      </w:r>
      <w:bookmarkEnd w:id="2"/>
      <w:r>
        <w:rPr>
          <w:color w:val="000000" w:themeColor="text1"/>
        </w:rPr>
      </w:r>
      <w:r>
        <w:rPr>
          <w:color w:val="000000" w:themeColor="text1"/>
          <w14:ligatures w14:val="none"/>
        </w:rPr>
      </w:r>
    </w:p>
    <w:tbl>
      <w:tblPr>
        <w:tblStyle w:val="709"/>
        <w:tblInd w:w="0" w:type="dxa"/>
        <w:tblW w:w="5020" w:type="pct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736"/>
        <w:gridCol w:w="1293"/>
        <w:gridCol w:w="2693"/>
        <w:gridCol w:w="3827"/>
      </w:tblGrid>
      <w:tr>
        <w:trPr/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36" w:type="dxa"/>
            <w:vAlign w:val="center"/>
          </w:tcPr>
          <w:p w14:paraId="5B188485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Port</w:t>
            </w:r>
            <w:r/>
          </w:p>
        </w:tc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293" w:type="dxa"/>
            <w:vAlign w:val="center"/>
          </w:tcPr>
          <w:p w14:paraId="38920515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Protocol</w:t>
            </w:r>
            <w:r/>
          </w:p>
        </w:tc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693" w:type="dxa"/>
            <w:vAlign w:val="center"/>
          </w:tcPr>
          <w:p w14:paraId="7F55A8A8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Service</w:t>
            </w:r>
            <w:r/>
          </w:p>
        </w:tc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827" w:type="dxa"/>
            <w:vAlign w:val="center"/>
          </w:tcPr>
          <w:p w14:paraId="284BBF8C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Destination IP</w:t>
            </w:r>
            <w:r/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36" w:type="dxa"/>
            <w:vAlign w:val="center"/>
          </w:tcPr>
          <w:p w14:paraId="49C20993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80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293" w:type="dxa"/>
            <w:vAlign w:val="center"/>
          </w:tcPr>
          <w:p w14:paraId="12948428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TCP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693" w:type="dxa"/>
            <w:vAlign w:val="center"/>
          </w:tcPr>
          <w:p w14:paraId="70916153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HTTP → HTTPS redirec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t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827" w:type="dxa"/>
            <w:vAlign w:val="center"/>
          </w:tcPr>
          <w:p w14:paraId="0148FA7F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NPM 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  <w:t xml:space="preserve">VM 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(10.77.40.10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  <w:t xml:space="preserve">0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)</w:t>
            </w:r>
            <w:r/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36" w:type="dxa"/>
            <w:vAlign w:val="center"/>
          </w:tcPr>
          <w:p w14:paraId="17E9D475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443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293" w:type="dxa"/>
            <w:vAlign w:val="center"/>
          </w:tcPr>
          <w:p w14:paraId="644088E8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TCP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693" w:type="dxa"/>
            <w:vAlign w:val="center"/>
          </w:tcPr>
          <w:p w14:paraId="72E21578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Dashboard, API, gRPC per HTTP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S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827" w:type="dxa"/>
            <w:vAlign w:val="center"/>
          </w:tcPr>
          <w:p w14:paraId="69AFBD69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NPM 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  <w:t xml:space="preserve">VM 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(10.77.40.10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  <w:t xml:space="preserve">0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)</w:t>
            </w:r>
            <w:r/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36" w:type="dxa"/>
            <w:vAlign w:val="center"/>
          </w:tcPr>
          <w:p w14:paraId="19C0CFA9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3478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293" w:type="dxa"/>
            <w:vAlign w:val="center"/>
          </w:tcPr>
          <w:p w14:paraId="3AA8DB80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UDP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693" w:type="dxa"/>
            <w:vAlign w:val="center"/>
          </w:tcPr>
          <w:p w14:paraId="2DA6DBC2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STUN/TURN NAT</w:t>
            </w:r>
            <w:r>
              <w:rPr>
                <w:rFonts w:ascii="Arial" w:hAnsi="Arial" w:eastAsia="Arial" w:cs="Arial"/>
                <w:color w:val="000000"/>
                <w:sz w:val="24"/>
              </w:rPr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827" w:type="dxa"/>
            <w:vAlign w:val="center"/>
          </w:tcPr>
          <w:p w14:paraId="76CD11FE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Netbird VM (10.77.30.100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)</w:t>
            </w:r>
            <w:r/>
          </w:p>
        </w:tc>
      </w:tr>
    </w:tbl>
    <w:p w14:paraId="5BF15A83"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42DA43B8"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2D4CF119"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44A4D5EB"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5BED6D85"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36"/>
        <w:pBdr/>
        <w:spacing/>
        <w:ind/>
        <w:jc w:val="both"/>
        <w:rPr>
          <w:color w:val="000000" w:themeColor="text1"/>
          <w14:ligatures w14:val="none"/>
        </w:rPr>
      </w:pPr>
      <w:r>
        <w:rPr>
          <w:color w:val="000000" w:themeColor="text1"/>
        </w:rPr>
      </w:r>
      <w:bookmarkStart w:id="3" w:name="bm_10_3_žingsnis_destination_nat_173589"/>
      <w:r>
        <w:rPr>
          <w:color w:val="000000" w:themeColor="text1"/>
          <w:lang w:val="en-US"/>
        </w:rPr>
        <w:t xml:space="preserve">1</w:t>
      </w:r>
      <w:r>
        <w:rPr>
          <w:color w:val="000000" w:themeColor="text1"/>
        </w:rPr>
        <w:t xml:space="preserve">.3 ŽINGSNIS. Destination NAT taisyklės (WAN)</w:t>
      </w:r>
      <w:bookmarkEnd w:id="3"/>
      <w:r>
        <w:rPr>
          <w:color w:val="000000" w:themeColor="text1"/>
        </w:rPr>
      </w:r>
      <w:r>
        <w:rPr>
          <w:color w:val="000000" w:themeColor="text1"/>
          <w14:ligatures w14:val="none"/>
        </w:rPr>
      </w:r>
    </w:p>
    <w:p>
      <w:pPr>
        <w:pBdr/>
        <w:spacing w:after="210" w:line="360" w:lineRule="auto"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Firewall → NAT → Destination NAT → +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 w:after="210" w:line="360" w:lineRule="auto"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Sukurti tris atskirus įrašus: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tbl>
      <w:tblPr>
        <w:tblStyle w:val="709"/>
        <w:tblInd w:w="0" w:type="dxa"/>
        <w:tblW w:w="5000" w:type="pct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74"/>
        <w:gridCol w:w="1379"/>
        <w:gridCol w:w="1742"/>
        <w:gridCol w:w="1660"/>
        <w:gridCol w:w="1984"/>
        <w:gridCol w:w="2371"/>
      </w:tblGrid>
      <w:tr>
        <w:trPr/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74" w:type="dxa"/>
            <w:vAlign w:val="center"/>
          </w:tcPr>
          <w:p w14:paraId="1D5F81A1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</w:r>
            <w:r/>
          </w:p>
        </w:tc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379" w:type="dxa"/>
            <w:vAlign w:val="center"/>
          </w:tcPr>
          <w:p w14:paraId="16E4EDD6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Protocol</w:t>
            </w:r>
            <w:r/>
          </w:p>
        </w:tc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42" w:type="dxa"/>
            <w:vAlign w:val="center"/>
          </w:tcPr>
          <w:p w14:paraId="1882A434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  <w:lang w:val="en-US"/>
              </w:rPr>
              <w:t xml:space="preserve">Destination</w:t>
            </w:r>
            <w:r/>
          </w:p>
        </w:tc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660" w:type="dxa"/>
            <w:vAlign w:val="center"/>
          </w:tcPr>
          <w:p w14:paraId="01EDC981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  <w:lang w:val="en-US"/>
              </w:rPr>
              <w:t xml:space="preserve">Destination Port</w:t>
            </w:r>
            <w:r/>
          </w:p>
        </w:tc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84" w:type="dxa"/>
            <w:vAlign w:val="center"/>
          </w:tcPr>
          <w:p w14:paraId="7DB2CF65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  <w:lang w:val="en-US"/>
              </w:rPr>
              <w:t xml:space="preserve">Redirect Target IP</w:t>
            </w:r>
            <w:r/>
          </w:p>
        </w:tc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71" w:type="dxa"/>
            <w:vAlign w:val="center"/>
          </w:tcPr>
          <w:p w14:paraId="46479D1F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  <w:lang w:val="en-US"/>
              </w:rPr>
              <w:t xml:space="preserve">Redirect Target Port</w:t>
            </w:r>
            <w:r/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74" w:type="dxa"/>
            <w:vAlign w:val="center"/>
          </w:tcPr>
          <w:p w14:paraId="4AE16468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1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379" w:type="dxa"/>
            <w:vAlign w:val="center"/>
          </w:tcPr>
          <w:p w14:paraId="390B7E3D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TCP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42" w:type="dxa"/>
            <w:vAlign w:val="center"/>
          </w:tcPr>
          <w:p w14:paraId="2A077BF6">
            <w:pPr>
              <w:pBdr/>
              <w:spacing w:line="360" w:lineRule="auto"/>
              <w:ind/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WAN address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660" w:type="dxa"/>
            <w:vAlign w:val="center"/>
          </w:tcPr>
          <w:p w14:paraId="55A6D91C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HTTPS (443)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84" w:type="dxa"/>
            <w:vAlign w:val="center"/>
          </w:tcPr>
          <w:p w14:paraId="644AE134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10.77.40.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  <w:t xml:space="preserve">100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 (NPM VM IP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)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71" w:type="dxa"/>
            <w:vAlign w:val="center"/>
          </w:tcPr>
          <w:p w14:paraId="407157C6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HTTPS 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(443)</w:t>
            </w:r>
            <w:r/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74" w:type="dxa"/>
            <w:vAlign w:val="center"/>
          </w:tcPr>
          <w:p w14:paraId="5CF1AC09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2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379" w:type="dxa"/>
            <w:vAlign w:val="center"/>
          </w:tcPr>
          <w:p w14:paraId="29CF18E1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TCP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42" w:type="dxa"/>
            <w:vAlign w:val="center"/>
          </w:tcPr>
          <w:p w14:paraId="2A077BF6">
            <w:pPr>
              <w:pBdr/>
              <w:spacing w:line="360" w:lineRule="auto"/>
              <w:ind/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WAN address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660" w:type="dxa"/>
            <w:vAlign w:val="center"/>
          </w:tcPr>
          <w:p w14:paraId="1EA0F6E1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HTTP (80)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84" w:type="dxa"/>
            <w:vAlign w:val="center"/>
          </w:tcPr>
          <w:p w14:paraId="138F1FBE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10.77.40.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  <w:t xml:space="preserve">100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(NPM VM IP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)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71" w:type="dxa"/>
            <w:vAlign w:val="center"/>
          </w:tcPr>
          <w:p w14:paraId="2C20C6C4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HTTP 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(80)</w:t>
            </w:r>
            <w:r/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74" w:type="dxa"/>
            <w:vAlign w:val="center"/>
          </w:tcPr>
          <w:p w14:paraId="7F87362C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3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379" w:type="dxa"/>
            <w:vAlign w:val="center"/>
          </w:tcPr>
          <w:p w14:paraId="286B63C3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UDP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42" w:type="dxa"/>
            <w:vAlign w:val="center"/>
          </w:tcPr>
          <w:p w14:paraId="2A077BF6">
            <w:pPr>
              <w:pBdr/>
              <w:spacing w:line="360" w:lineRule="auto"/>
              <w:ind/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WAN address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660" w:type="dxa"/>
            <w:vAlign w:val="center"/>
          </w:tcPr>
          <w:p w14:paraId="3024DD64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STUN/TURN (3478)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84" w:type="dxa"/>
            <w:vAlign w:val="center"/>
          </w:tcPr>
          <w:p w14:paraId="53FAAEA3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10.77.30.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  <w:t xml:space="preserve">100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(Netbird VM I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P)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71" w:type="dxa"/>
            <w:vAlign w:val="center"/>
          </w:tcPr>
          <w:p w14:paraId="30B5A004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STUN/TURN 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(3478)</w:t>
            </w:r>
            <w:r/>
          </w:p>
        </w:tc>
      </w:tr>
    </w:tbl>
    <w:p>
      <w:pPr>
        <w:pBdr/>
        <w:spacing w:after="210" w:line="360" w:lineRule="auto"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36"/>
        <w:pBdr/>
        <w:spacing/>
        <w:ind/>
        <w:jc w:val="both"/>
        <w:rPr>
          <w:color w:val="000000" w:themeColor="text1"/>
          <w14:ligatures w14:val="none"/>
        </w:rPr>
      </w:pPr>
      <w:r>
        <w:rPr>
          <w:color w:val="000000" w:themeColor="text1"/>
        </w:rPr>
      </w:r>
      <w:r>
        <w:rPr>
          <w:color w:val="000000" w:themeColor="text1"/>
          <w:lang w:val="en-US"/>
        </w:rPr>
        <w:t xml:space="preserve">1</w:t>
      </w:r>
      <w:r>
        <w:rPr>
          <w:color w:val="000000" w:themeColor="text1"/>
        </w:rPr>
        <w:t xml:space="preserve">.4 ŽINGSNIS. WAN filter taisyklės </w:t>
      </w:r>
      <w:r>
        <w:rPr>
          <w:color w:val="000000" w:themeColor="text1"/>
        </w:rPr>
      </w:r>
      <w:r>
        <w:rPr>
          <w:color w:val="000000" w:themeColor="text1"/>
          <w14:ligatures w14:val="none"/>
        </w:rPr>
      </w:r>
    </w:p>
    <w:p>
      <w:pPr>
        <w:pBdr/>
        <w:spacing w:after="210" w:line="360" w:lineRule="auto"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J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ei Destination NAT taisyklės "Firewall rule" laukelis paliktas kaip </w:t>
      </w:r>
      <w:r>
        <w:rPr>
          <w:rFonts w:ascii="Arial" w:hAnsi="Arial" w:eastAsia="Arial" w:cs="Arial"/>
          <w:b w:val="0"/>
          <w:bCs w:val="0"/>
          <w:color w:val="000000" w:themeColor="text1"/>
          <w:sz w:val="24"/>
          <w:szCs w:val="24"/>
        </w:rPr>
        <w:t xml:space="preserve">"Manual"</w:t>
      </w:r>
      <w:r>
        <w:rPr>
          <w:rFonts w:ascii="Arial" w:hAnsi="Arial" w:eastAsia="Arial" w:cs="Arial"/>
          <w:b w:val="0"/>
          <w:bCs w:val="0"/>
          <w:color w:val="000000" w:themeColor="text1"/>
          <w:sz w:val="24"/>
          <w:szCs w:val="24"/>
        </w:rPr>
        <w:t xml:space="preserve">, 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OPNsense nesukuria automatinės leidžiančios taisyklės. Vien NAT taisyklės nepakanka, nes paketas persiunčiamas, bet filter sluoksnis jį vis tiek blokuoja su log'o įrašu </w:t>
      </w:r>
      <w:r>
        <w:rPr>
          <w:rFonts w:ascii="Arial" w:hAnsi="Arial" w:eastAsia="Arial" w:cs="Arial"/>
          <w:b w:val="0"/>
          <w:bCs w:val="0"/>
          <w:color w:val="000000" w:themeColor="text1"/>
          <w:sz w:val="24"/>
          <w:szCs w:val="24"/>
        </w:rPr>
        <w:t xml:space="preserve">"Default deny / state violation rule"</w:t>
      </w:r>
      <w:r>
        <w:rPr>
          <w:rFonts w:ascii="Arial" w:hAnsi="Arial" w:eastAsia="Arial" w:cs="Arial"/>
          <w:b w:val="0"/>
          <w:bCs w:val="0"/>
          <w:color w:val="000000" w:themeColor="text1"/>
          <w:sz w:val="24"/>
          <w:szCs w:val="24"/>
        </w:rPr>
        <w:t xml:space="preserve">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 w:after="210" w:line="360" w:lineRule="auto"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Firewall → Rules → WAN → +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tbl>
      <w:tblPr>
        <w:tblStyle w:val="709"/>
        <w:tblInd w:w="0" w:type="dxa"/>
        <w:tblW w:w="5020" w:type="pct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88"/>
        <w:gridCol w:w="1472"/>
        <w:gridCol w:w="2303"/>
        <w:gridCol w:w="1701"/>
        <w:gridCol w:w="1134"/>
        <w:gridCol w:w="1417"/>
        <w:gridCol w:w="1134"/>
      </w:tblGrid>
      <w:tr>
        <w:trPr>
          <w:trHeight w:val="1044"/>
        </w:trPr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88" w:type="dxa"/>
            <w:vAlign w:val="center"/>
          </w:tcPr>
          <w:p w14:paraId="783C94BF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</w:r>
            <w:r/>
          </w:p>
        </w:tc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472" w:type="dxa"/>
            <w:vAlign w:val="center"/>
          </w:tcPr>
          <w:p w14:paraId="76C62B0E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Protocol</w:t>
            </w:r>
            <w:r/>
          </w:p>
        </w:tc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03" w:type="dxa"/>
            <w:vAlign w:val="center"/>
          </w:tcPr>
          <w:p w14:paraId="1333D6C4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  <w:lang w:val="en-US"/>
              </w:rPr>
              <w:t xml:space="preserve">Destination</w:t>
            </w:r>
            <w:r/>
          </w:p>
        </w:tc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01" w:type="dxa"/>
            <w:vAlign w:val="center"/>
          </w:tcPr>
          <w:p w14:paraId="1EEEB69C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  <w:lang w:val="en-US"/>
              </w:rPr>
              <w:t xml:space="preserve">Destination Port</w:t>
            </w:r>
            <w:r/>
          </w:p>
        </w:tc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134" w:type="dxa"/>
            <w:vAlign w:val="center"/>
          </w:tcPr>
          <w:p w14:paraId="228A9931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  <w:lang w:val="en-US"/>
              </w:rPr>
              <w:t xml:space="preserve">Action</w:t>
            </w:r>
            <w:r/>
          </w:p>
        </w:tc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417" w:type="dxa"/>
            <w:vAlign w:val="center"/>
          </w:tcPr>
          <w:p w14:paraId="373E7BFB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  <w:lang w:val="en-US"/>
              </w:rPr>
              <w:t xml:space="preserve">Direction</w:t>
            </w:r>
            <w:r/>
          </w:p>
        </w:tc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134" w:type="dxa"/>
            <w:vAlign w:val="center"/>
          </w:tcPr>
          <w:p w14:paraId="6B7C2FD3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000000"/>
                <w:sz w:val="24"/>
                <w:szCs w:val="24"/>
                <w:lang w:val="en-US" w:bidi="en-US"/>
              </w:rPr>
              <w:t xml:space="preserve">Version</w:t>
            </w:r>
            <w:r>
              <w:rPr>
                <w:rFonts w:ascii="Arial" w:hAnsi="Arial" w:eastAsia="Arial" w:cs="Arial"/>
                <w:b/>
                <w:bCs/>
                <w:color w:val="000000"/>
                <w:sz w:val="24"/>
                <w:szCs w:val="24"/>
                <w:lang w:val="en-US"/>
              </w:rPr>
            </w:r>
            <w:r>
              <w:rPr>
                <w:rFonts w:ascii="Arial" w:hAnsi="Arial" w:eastAsia="Arial" w:cs="Arial"/>
                <w:b/>
                <w:bCs/>
                <w:color w:val="000000"/>
                <w:sz w:val="24"/>
                <w:szCs w:val="24"/>
                <w:lang w:val="en-US"/>
              </w:rPr>
            </w:r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88" w:type="dxa"/>
            <w:vAlign w:val="center"/>
          </w:tcPr>
          <w:p w14:paraId="532821E8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1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472" w:type="dxa"/>
            <w:vAlign w:val="center"/>
          </w:tcPr>
          <w:p w14:paraId="2710D97C">
            <w:pPr>
              <w:pBdr/>
              <w:spacing/>
              <w:ind/>
              <w:rPr/>
            </w:pPr>
            <w:r>
              <w:rPr>
                <w:lang w:val="en-US"/>
              </w:rPr>
              <w:t xml:space="preserve">TCP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03" w:type="dxa"/>
            <w:vAlign w:val="center"/>
          </w:tcPr>
          <w:p w14:paraId="588FE3E5">
            <w:pPr>
              <w:pBdr/>
              <w:spacing w:line="360" w:lineRule="auto"/>
              <w:ind/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highlight w:val="none"/>
                <w:lang w:val="en-US"/>
              </w:rPr>
              <w:t xml:space="preserve">Single host or Network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  <w:p w14:paraId="41DB5432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10.77.40.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  <w:t xml:space="preserve">100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 (NPM VM IP</w:t>
            </w:r>
            <w:r>
              <w:rPr>
                <w:lang w:val="en-US"/>
              </w:rPr>
              <w:t xml:space="preserve">)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01" w:type="dxa"/>
            <w:vAlign w:val="center"/>
          </w:tcPr>
          <w:p w14:paraId="50768983">
            <w:pPr>
              <w:pBdr/>
              <w:spacing/>
              <w:ind/>
              <w:rPr/>
            </w:pPr>
            <w:r>
              <w:rPr>
                <w:lang w:val="en-US"/>
              </w:rPr>
              <w:t xml:space="preserve">80, 443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134" w:type="dxa"/>
            <w:vAlign w:val="center"/>
          </w:tcPr>
          <w:p w14:paraId="6DDB9CF8">
            <w:pPr>
              <w:pBdr/>
              <w:spacing/>
              <w:ind/>
              <w:rPr/>
            </w:pPr>
            <w:r>
              <w:rPr>
                <w:lang w:val="en-US"/>
              </w:rPr>
              <w:t xml:space="preserve">Pass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417" w:type="dxa"/>
            <w:vAlign w:val="center"/>
          </w:tcPr>
          <w:p w14:paraId="17EDC354">
            <w:pPr>
              <w:pBdr/>
              <w:spacing/>
              <w:ind/>
              <w:rPr/>
            </w:pPr>
            <w:r>
              <w:rPr>
                <w:lang w:val="en-US"/>
              </w:rPr>
              <w:t xml:space="preserve">In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134" w:type="dxa"/>
            <w:vAlign w:val="center"/>
          </w:tcPr>
          <w:p w14:paraId="4D93C330">
            <w:pPr>
              <w:pBdr/>
              <w:spacing/>
              <w:ind/>
              <w:rPr/>
            </w:pPr>
            <w:r>
              <w:rPr>
                <w:lang w:val="en-US"/>
              </w:rPr>
              <w:t xml:space="preserve">IPv4</w:t>
            </w:r>
            <w:r/>
          </w:p>
        </w:tc>
      </w:tr>
      <w:tr>
        <w:trPr>
          <w:trHeight w:val="2068"/>
        </w:trPr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88" w:type="dxa"/>
            <w:vAlign w:val="center"/>
          </w:tcPr>
          <w:p w14:paraId="335C43F1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2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472" w:type="dxa"/>
            <w:vAlign w:val="center"/>
          </w:tcPr>
          <w:p w14:paraId="3C756352">
            <w:pPr>
              <w:pBdr/>
              <w:spacing/>
              <w:ind/>
              <w:rPr/>
            </w:pPr>
            <w:r>
              <w:rPr>
                <w:lang w:val="en-US"/>
              </w:rPr>
              <w:t xml:space="preserve">UDP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03" w:type="dxa"/>
            <w:vAlign w:val="center"/>
          </w:tcPr>
          <w:p w14:paraId="120822DB">
            <w:pPr>
              <w:pBdr/>
              <w:spacing w:line="360" w:lineRule="auto"/>
              <w:ind/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highlight w:val="none"/>
                <w:lang w:val="en-US"/>
              </w:rPr>
              <w:t xml:space="preserve">Single host or Network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  <w:p w14:paraId="01B00F72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  <w:color w:val="000000" w:themeColor="text1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10.77.30.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  <w:t xml:space="preserve">100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 (Netbird VM IP)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highlight w:val="none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01" w:type="dxa"/>
            <w:vAlign w:val="center"/>
          </w:tcPr>
          <w:p w14:paraId="7298B70E">
            <w:pPr>
              <w:pBdr/>
              <w:spacing/>
              <w:ind/>
              <w:rPr/>
            </w:pPr>
            <w:r>
              <w:rPr>
                <w:lang w:val="en-US"/>
              </w:rPr>
              <w:t xml:space="preserve">3478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134" w:type="dxa"/>
            <w:vAlign w:val="center"/>
          </w:tcPr>
          <w:p w14:paraId="4C8BA1B8">
            <w:pPr>
              <w:pBdr/>
              <w:spacing/>
              <w:ind/>
              <w:rPr/>
            </w:pPr>
            <w:r>
              <w:rPr>
                <w:lang w:val="en-US"/>
              </w:rPr>
              <w:t xml:space="preserve">Pass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417" w:type="dxa"/>
            <w:vAlign w:val="center"/>
          </w:tcPr>
          <w:p w14:paraId="43F286FB">
            <w:pPr>
              <w:pBdr/>
              <w:spacing/>
              <w:ind/>
              <w:rPr/>
            </w:pPr>
            <w:r>
              <w:rPr>
                <w:lang w:val="en-US"/>
              </w:rPr>
              <w:t xml:space="preserve">In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134" w:type="dxa"/>
            <w:vAlign w:val="center"/>
          </w:tcPr>
          <w:p w14:paraId="510FE5EF">
            <w:pPr>
              <w:pBdr/>
              <w:spacing/>
              <w:ind/>
              <w:rPr/>
            </w:pPr>
            <w:r>
              <w:rPr>
                <w:lang w:val="en-US"/>
              </w:rPr>
              <w:t xml:space="preserve">IPv4</w:t>
            </w:r>
            <w:r/>
          </w:p>
        </w:tc>
      </w:tr>
    </w:tbl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 w:after="210" w:line="360" w:lineRule="auto"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b/>
          <w:color w:val="000000" w:themeColor="text1"/>
          <w:sz w:val="24"/>
          <w:szCs w:val="24"/>
        </w:rPr>
        <w:t xml:space="preserve">Paketo kelias per pf</w:t>
      </w:r>
      <w:r>
        <w:rPr>
          <w:rFonts w:ascii="Arial" w:hAnsi="Arial" w:eastAsia="Arial" w:cs="Arial"/>
          <w:b/>
          <w:color w:val="000000" w:themeColor="text1"/>
          <w:sz w:val="24"/>
          <w:szCs w:val="24"/>
          <w:lang w:val="en-US"/>
        </w:rPr>
        <w:t xml:space="preserve"> (packet filtering)</w:t>
      </w:r>
      <w:r>
        <w:rPr>
          <w:rFonts w:ascii="Arial" w:hAnsi="Arial" w:eastAsia="Arial" w:cs="Arial"/>
          <w:b/>
          <w:color w:val="000000" w:themeColor="text1"/>
          <w:sz w:val="24"/>
          <w:szCs w:val="24"/>
        </w:rPr>
        <w:t xml:space="preserve">: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numPr>
          <w:ilvl w:val="0"/>
          <w:numId w:val="2"/>
        </w:numPr>
        <w:pBdr/>
        <w:spacing w:after="105" w:before="105" w:line="360" w:lineRule="auto"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Paketas atkeliauja į WAN su tikslu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  <w:shd w:val="clear" w:color="auto" w:fill="f8f8fa"/>
        </w:rPr>
        <w:t xml:space="preserve">192.168.1.156:443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numPr>
          <w:ilvl w:val="0"/>
          <w:numId w:val="2"/>
        </w:numPr>
        <w:pBdr/>
        <w:spacing w:after="105" w:before="105" w:line="360" w:lineRule="auto"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NAT sluoksnis (Destination NAT) pakeičia tikslą į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  <w:shd w:val="clear" w:color="auto" w:fill="f8f8fa"/>
        </w:rPr>
        <w:t xml:space="preserve">10.77.40.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  <w:shd w:val="clear" w:color="auto" w:fill="f8f8fa"/>
          <w:lang w:val="en-US"/>
        </w:rPr>
        <w:t xml:space="preserve">100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  <w:shd w:val="clear" w:color="auto" w:fill="f8f8fa"/>
        </w:rPr>
        <w:t xml:space="preserve">:443 (NPM VM IP)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numPr>
          <w:ilvl w:val="0"/>
          <w:numId w:val="2"/>
        </w:numPr>
        <w:pBdr/>
        <w:spacing w:after="105" w:before="105" w:line="360" w:lineRule="auto"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Filter sluoksnis (WAN Rules) tikrina PO-NAT tikslą — reikalinga taisyklė su Destination=</w:t>
      </w:r>
      <w:r>
        <w:rPr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  <w:shd w:val="clear" w:color="auto" w:fill="f8f8fa"/>
        </w:rPr>
        <w:t xml:space="preserve">10.77.40.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  <w:shd w:val="clear" w:color="auto" w:fill="f8f8fa"/>
          <w:lang w:val="en-US"/>
        </w:rPr>
        <w:t xml:space="preserve">100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  <w:shd w:val="clear" w:color="auto" w:fill="f8f8fa"/>
        </w:rPr>
        <w:t xml:space="preserve">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  <w:shd w:val="clear" w:color="auto" w:fill="f8f8fa"/>
          <w:lang w:val="en-US"/>
        </w:rPr>
        <w:t xml:space="preserve">(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  <w:shd w:val="clear" w:color="auto" w:fill="f8f8fa"/>
        </w:rPr>
        <w:t xml:space="preserve">NPM VM IP)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numPr>
          <w:ilvl w:val="0"/>
          <w:numId w:val="2"/>
        </w:numPr>
        <w:pBdr/>
        <w:spacing w:after="105" w:before="105" w:line="360" w:lineRule="auto"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Jei atitinka, tada paketas praleidžiamas ir sukuriama "state"; jei ne 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blokuoja su log'o įrašu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  "Default deny / state violation"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33922D3A">
      <w:pPr>
        <w:pBdr/>
        <w:spacing w:after="105" w:before="105" w:line="360" w:lineRule="auto"/>
        <w:ind w:firstLine="0" w:left="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36"/>
        <w:pBdr/>
        <w:spacing/>
        <w:ind/>
        <w:jc w:val="both"/>
        <w:rPr>
          <w:color w:val="000000" w:themeColor="text1"/>
          <w14:ligatures w14:val="none"/>
        </w:rPr>
      </w:pPr>
      <w:r>
        <w:rPr>
          <w:color w:val="000000" w:themeColor="text1"/>
        </w:rPr>
      </w:r>
      <w:bookmarkStart w:id="5" w:name="bm_10_5_žingsnis_dmz_servers_tais_8e239b"/>
      <w:r>
        <w:rPr>
          <w:color w:val="000000" w:themeColor="text1"/>
        </w:rPr>
        <w:t xml:space="preserve">1.5 ŽINGSNIS. DMZ → SERVERS taisyklė (NPM</w:t>
      </w:r>
      <w:r>
        <w:rPr>
          <w:color w:val="000000" w:themeColor="text1"/>
        </w:rPr>
        <w:t xml:space="preserve"> pasiekia Netbird VM)</w:t>
      </w:r>
      <w:bookmarkEnd w:id="5"/>
      <w:r>
        <w:rPr>
          <w:color w:val="000000" w:themeColor="text1"/>
        </w:rPr>
      </w:r>
      <w:r>
        <w:rPr>
          <w:color w:val="000000" w:themeColor="text1"/>
          <w14:ligatures w14:val="none"/>
        </w:rPr>
      </w:r>
    </w:p>
    <w:p>
      <w:pPr>
        <w:pBdr/>
        <w:spacing w:after="210" w:line="360" w:lineRule="auto"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 Firewall → Rules → DMZ → +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 w:after="210" w:line="360" w:lineRule="auto"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NPM (DMZ) turi inicijuoti jungtį į Netbird VM (SERVERS), kad persiųstų dashboard/API/gRPC srautą.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tbl>
      <w:tblPr>
        <w:tblStyle w:val="709"/>
        <w:tblInd w:w="0" w:type="dxa"/>
        <w:tblW w:w="5000" w:type="pct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263"/>
        <w:gridCol w:w="2001"/>
      </w:tblGrid>
      <w:tr>
        <w:trPr/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263" w:type="dxa"/>
            <w:vAlign w:val="center"/>
          </w:tcPr>
          <w:p w14:paraId="3F077F7C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  <w:lang w:val="en-US"/>
              </w:rPr>
              <w:t xml:space="preserve">Field</w:t>
            </w:r>
            <w:r/>
          </w:p>
        </w:tc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001" w:type="dxa"/>
            <w:vAlign w:val="center"/>
          </w:tcPr>
          <w:p w14:paraId="1A2F268E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  <w:lang w:val="en-US"/>
              </w:rPr>
              <w:t xml:space="preserve">Value</w:t>
            </w:r>
            <w:r/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263" w:type="dxa"/>
            <w:vAlign w:val="center"/>
          </w:tcPr>
          <w:p w14:paraId="0CF2FE14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Interface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001" w:type="dxa"/>
            <w:vAlign w:val="center"/>
          </w:tcPr>
          <w:p w14:paraId="0EFABFA3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DMZ</w:t>
            </w:r>
            <w:r/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263" w:type="dxa"/>
            <w:vAlign w:val="center"/>
          </w:tcPr>
          <w:p w14:paraId="7DB08A46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Description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001" w:type="dxa"/>
            <w:vAlign w:val="center"/>
          </w:tcPr>
          <w:p w14:paraId="75F39EF3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NPM -&gt; Netbir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d</w:t>
            </w:r>
            <w:r/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263" w:type="dxa"/>
            <w:vAlign w:val="center"/>
          </w:tcPr>
          <w:p w14:paraId="4E8DC580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Source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001" w:type="dxa"/>
            <w:vAlign w:val="center"/>
          </w:tcPr>
          <w:p w14:paraId="0D84EFD3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  <w:t xml:space="preserve">Single host or Network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  <w:p w14:paraId="1A176A81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10.77.40.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  <w:t xml:space="preserve">100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 (NPM, single host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)</w:t>
            </w:r>
            <w:r/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263" w:type="dxa"/>
            <w:vAlign w:val="center"/>
            <w:vMerge w:val="restart"/>
          </w:tcPr>
          <w:p w14:paraId="5DA8130E">
            <w:pPr>
              <w:pBdr/>
              <w:spacing w:after="0" w:before="0" w:line="240" w:lineRule="auto"/>
              <w:ind/>
              <w:rPr>
                <w:rFonts w:ascii="Arial" w:hAnsi="Arial" w:eastAsia="Arial" w:cs="Arial"/>
                <w:color w:val="000000"/>
                <w:sz w:val="24"/>
                <w:lang w:val="en-US"/>
              </w:rPr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Destination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001" w:type="dxa"/>
            <w:vAlign w:val="center"/>
            <w:vMerge w:val="restart"/>
          </w:tcPr>
          <w:p w14:paraId="1E5B4440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  <w:t xml:space="preserve">Single host or Network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  <w:p w14:paraId="5EB7BC7A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  <w:color w:val="000000" w:themeColor="text1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10.77.30.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  <w:t xml:space="preserve">100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 (Netbird VM, single host)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highlight w:val="none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263" w:type="dxa"/>
            <w:vAlign w:val="center"/>
            <w:vMerge w:val="restart"/>
          </w:tcPr>
          <w:p w14:paraId="43DB0CF3">
            <w:pPr>
              <w:pBdr/>
              <w:spacing w:after="0" w:before="0" w:line="240" w:lineRule="auto"/>
              <w:ind/>
              <w:rPr>
                <w:rFonts w:ascii="Arial" w:hAnsi="Arial" w:eastAsia="Arial" w:cs="Arial"/>
                <w:color w:val="000000"/>
                <w:sz w:val="24"/>
                <w:lang w:val="en-US"/>
              </w:rPr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Destination Port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001" w:type="dxa"/>
            <w:vAlign w:val="center"/>
            <w:vMerge w:val="restart"/>
          </w:tcPr>
          <w:p w14:paraId="7DB1BB15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  <w:t xml:space="preserve">ServersPorts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</w:r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263" w:type="dxa"/>
            <w:vAlign w:val="center"/>
            <w:vMerge w:val="restart"/>
          </w:tcPr>
          <w:p w14:paraId="0EEEF57D">
            <w:pPr>
              <w:pBdr/>
              <w:spacing w:after="0" w:before="0" w:line="240" w:lineRule="auto"/>
              <w:ind/>
              <w:rPr>
                <w:rFonts w:ascii="Arial" w:hAnsi="Arial" w:eastAsia="Arial" w:cs="Arial"/>
                <w:color w:val="000000"/>
                <w:sz w:val="24"/>
                <w:lang w:val="en-US"/>
              </w:rPr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Action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001" w:type="dxa"/>
            <w:vAlign w:val="center"/>
            <w:vMerge w:val="restart"/>
          </w:tcPr>
          <w:p w14:paraId="34939353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  <w:t xml:space="preserve">Pass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</w:r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263" w:type="dxa"/>
            <w:vAlign w:val="center"/>
            <w:vMerge w:val="restart"/>
          </w:tcPr>
          <w:p w14:paraId="239ACF28">
            <w:pPr>
              <w:pBdr/>
              <w:spacing w:after="0" w:before="0" w:line="240" w:lineRule="auto"/>
              <w:ind/>
              <w:rPr>
                <w:rFonts w:ascii="Arial" w:hAnsi="Arial" w:eastAsia="Arial" w:cs="Arial"/>
                <w:color w:val="000000"/>
                <w:sz w:val="24"/>
                <w:lang w:val="en-US"/>
              </w:rPr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Direction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001" w:type="dxa"/>
            <w:vAlign w:val="center"/>
            <w:vMerge w:val="restart"/>
          </w:tcPr>
          <w:p w14:paraId="13E564E7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  <w:t xml:space="preserve">In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</w:r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263" w:type="dxa"/>
            <w:vAlign w:val="center"/>
            <w:vMerge w:val="restart"/>
          </w:tcPr>
          <w:p w14:paraId="316FB1FC">
            <w:pPr>
              <w:pBdr/>
              <w:spacing w:after="0" w:before="0" w:line="240" w:lineRule="auto"/>
              <w:ind/>
              <w:rPr>
                <w:rFonts w:ascii="Arial" w:hAnsi="Arial" w:eastAsia="Arial" w:cs="Arial"/>
                <w:color w:val="000000"/>
                <w:sz w:val="24"/>
                <w:lang w:val="en-US"/>
              </w:rPr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Version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001" w:type="dxa"/>
            <w:vAlign w:val="center"/>
            <w:vMerge w:val="restart"/>
          </w:tcPr>
          <w:p w14:paraId="5E76F582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  <w:t xml:space="preserve">IPv4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</w:r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263" w:type="dxa"/>
            <w:vAlign w:val="center"/>
            <w:vMerge w:val="restart"/>
          </w:tcPr>
          <w:p w14:paraId="6A5780DE">
            <w:pPr>
              <w:pBdr/>
              <w:spacing w:after="0" w:before="0" w:line="240" w:lineRule="auto"/>
              <w:ind/>
              <w:rPr>
                <w:rFonts w:ascii="Arial" w:hAnsi="Arial" w:eastAsia="Arial" w:cs="Arial"/>
                <w:color w:val="000000"/>
                <w:sz w:val="24"/>
                <w:lang w:val="en-US"/>
              </w:rPr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Protocol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001" w:type="dxa"/>
            <w:vAlign w:val="center"/>
            <w:vMerge w:val="restart"/>
          </w:tcPr>
          <w:p w14:paraId="1B59821B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  <w:t xml:space="preserve">TCP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</w:r>
          </w:p>
        </w:tc>
      </w:tr>
    </w:tbl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36"/>
        <w:pBdr/>
        <w:spacing/>
        <w:ind/>
        <w:jc w:val="both"/>
        <w:rPr>
          <w:color w:val="000000" w:themeColor="text1"/>
          <w14:ligatures w14:val="none"/>
        </w:rPr>
      </w:pPr>
      <w:r>
        <w:rPr>
          <w:color w:val="000000" w:themeColor="text1"/>
        </w:rPr>
      </w:r>
      <w:bookmarkStart w:id="6" w:name="bm_10_6_žingsnis_split_dns_unboun_f2e086"/>
      <w:r>
        <w:rPr>
          <w:color w:val="000000" w:themeColor="text1"/>
        </w:rPr>
        <w:t xml:space="preserve">1</w:t>
      </w:r>
      <w:r>
        <w:rPr>
          <w:color w:val="000000" w:themeColor="text1"/>
        </w:rPr>
        <w:t xml:space="preserve">.6 ŽINGSNIS. Split DNS (Unbound Host Override)</w:t>
      </w:r>
      <w:bookmarkEnd w:id="6"/>
      <w:r>
        <w:rPr>
          <w:color w:val="000000" w:themeColor="text1"/>
        </w:rPr>
      </w:r>
      <w:r>
        <w:rPr>
          <w:color w:val="000000" w:themeColor="text1"/>
          <w14:ligatures w14:val="none"/>
        </w:rPr>
      </w:r>
    </w:p>
    <w:p>
      <w:pPr>
        <w:pBdr/>
        <w:spacing w:after="210" w:line="360" w:lineRule="auto"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Services → Unbound DNS → Overrides → Host Override → +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tbl>
      <w:tblPr>
        <w:tblStyle w:val="709"/>
        <w:tblInd w:w="0" w:type="dxa"/>
        <w:tblW w:w="5000" w:type="pct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263"/>
        <w:gridCol w:w="2001"/>
      </w:tblGrid>
      <w:tr>
        <w:trPr/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263" w:type="dxa"/>
            <w:vAlign w:val="center"/>
          </w:tcPr>
          <w:p w14:paraId="66BC57D1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  <w:lang w:val="en-US"/>
              </w:rPr>
              <w:t xml:space="preserve">Field</w:t>
            </w:r>
            <w:r/>
          </w:p>
        </w:tc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001" w:type="dxa"/>
            <w:vAlign w:val="center"/>
          </w:tcPr>
          <w:p w14:paraId="5420A656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  <w:lang w:val="en-US"/>
              </w:rPr>
              <w:t xml:space="preserve">Value</w:t>
            </w:r>
            <w:r/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263" w:type="dxa"/>
            <w:vAlign w:val="center"/>
          </w:tcPr>
          <w:p w14:paraId="7CBBD436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Host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001" w:type="dxa"/>
            <w:vAlign w:val="center"/>
          </w:tcPr>
          <w:p w14:paraId="50F0A6D7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Netbird</w:t>
            </w:r>
            <w:r/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263" w:type="dxa"/>
            <w:vAlign w:val="center"/>
          </w:tcPr>
          <w:p w14:paraId="609C6D7B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Domain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001" w:type="dxa"/>
            <w:vAlign w:val="center"/>
          </w:tcPr>
          <w:p w14:paraId="7BCF80DA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netbird.andrius-homelab.u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k</w:t>
            </w:r>
            <w:r/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263" w:type="dxa"/>
            <w:vAlign w:val="center"/>
          </w:tcPr>
          <w:p w14:paraId="7AE4C31A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Type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001" w:type="dxa"/>
            <w:vAlign w:val="center"/>
          </w:tcPr>
          <w:p w14:paraId="4737BA1A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  <w:t xml:space="preserve"> (IPv4 Address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)</w:t>
            </w:r>
            <w:r/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263" w:type="dxa"/>
            <w:vAlign w:val="center"/>
            <w:vMerge w:val="restart"/>
          </w:tcPr>
          <w:p w14:paraId="7C7B04D6">
            <w:pPr>
              <w:pBdr/>
              <w:spacing w:after="0" w:before="0" w:line="240" w:lineRule="auto"/>
              <w:ind/>
              <w:rPr>
                <w:rFonts w:ascii="Arial" w:hAnsi="Arial" w:eastAsia="Arial" w:cs="Arial"/>
                <w:color w:val="000000"/>
                <w:sz w:val="24"/>
                <w:lang w:val="en-US"/>
              </w:rPr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IP Address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001" w:type="dxa"/>
            <w:vAlign w:val="center"/>
            <w:vMerge w:val="restart"/>
          </w:tcPr>
          <w:p w14:paraId="63F1F2B9">
            <w:pPr>
              <w:pBdr/>
              <w:spacing w:after="0" w:before="0" w:line="240" w:lineRule="auto"/>
              <w:ind/>
              <w:rPr>
                <w:rFonts w:ascii="Arial" w:hAnsi="Arial" w:eastAsia="Arial" w:cs="Arial"/>
                <w:color w:val="000000"/>
                <w:sz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10.77.40.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  <w:t xml:space="preserve">100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 (NPM VM IP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)</w:t>
            </w:r>
            <w:r>
              <w:rPr>
                <w:rFonts w:ascii="Arial" w:hAnsi="Arial" w:eastAsia="Arial" w:cs="Arial"/>
                <w:color w:val="000000"/>
                <w:sz w:val="24"/>
              </w:rPr>
            </w:r>
            <w:r>
              <w:rPr>
                <w:rFonts w:ascii="Arial" w:hAnsi="Arial" w:eastAsia="Arial" w:cs="Arial"/>
                <w:color w:val="000000"/>
                <w:sz w:val="24"/>
              </w:rPr>
            </w:r>
          </w:p>
        </w:tc>
      </w:tr>
    </w:tbl>
    <w:p w14:paraId="4005F084"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36"/>
        <w:pBdr/>
        <w:spacing/>
        <w:ind/>
        <w:jc w:val="both"/>
        <w:rPr>
          <w:color w:val="000000" w:themeColor="text1"/>
          <w14:ligatures w14:val="none"/>
        </w:rPr>
      </w:pPr>
      <w:r>
        <w:rPr>
          <w:color w:val="000000" w:themeColor="text1"/>
        </w:rPr>
      </w:r>
      <w:bookmarkStart w:id="7" w:name="bm_10_7_žingsnis_npm_proxy_host_k_46605c"/>
      <w:r>
        <w:rPr>
          <w:color w:val="000000" w:themeColor="text1"/>
        </w:rPr>
        <w:t xml:space="preserve">1.7 ŽINGSNIS. NPM Proxy Host konfigūracija</w:t>
      </w:r>
      <w:bookmarkEnd w:id="7"/>
      <w:r>
        <w:rPr>
          <w:color w:val="000000" w:themeColor="text1"/>
        </w:rPr>
      </w:r>
      <w:r>
        <w:rPr>
          <w:color w:val="000000" w:themeColor="text1"/>
          <w14:ligatures w14:val="none"/>
        </w:rPr>
      </w:r>
    </w:p>
    <w:p>
      <w:pPr>
        <w:pBdr/>
        <w:spacing w:after="210" w:line="360" w:lineRule="auto"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NPM Admin Panel → Hosts → Proxy Hosts → Add Proxy Host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tbl>
      <w:tblPr>
        <w:tblStyle w:val="709"/>
        <w:tblInd w:w="0" w:type="dxa"/>
        <w:tblW w:w="5000" w:type="pct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288"/>
        <w:gridCol w:w="5209"/>
      </w:tblGrid>
      <w:tr>
        <w:trPr/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288" w:type="dxa"/>
            <w:vAlign w:val="center"/>
          </w:tcPr>
          <w:p w14:paraId="2FBD6B01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  <w:lang w:val="en-US"/>
              </w:rPr>
              <w:t xml:space="preserve">FIeld</w:t>
            </w:r>
            <w:r/>
          </w:p>
        </w:tc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5209" w:type="dxa"/>
            <w:vAlign w:val="center"/>
          </w:tcPr>
          <w:p w14:paraId="4E48B2A6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  <w:lang w:val="en-US"/>
              </w:rPr>
              <w:t xml:space="preserve">Value</w:t>
            </w:r>
            <w:r/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288" w:type="dxa"/>
            <w:vAlign w:val="center"/>
          </w:tcPr>
          <w:p w14:paraId="2FAF99DF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Domain Names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5209" w:type="dxa"/>
            <w:vAlign w:val="center"/>
          </w:tcPr>
          <w:p w14:paraId="10B4D30A">
            <w:pPr>
              <w:pBdr/>
              <w:spacing w:line="360" w:lineRule="auto"/>
              <w:ind/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netbird.andrius-homelab.uk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288" w:type="dxa"/>
            <w:vAlign w:val="center"/>
          </w:tcPr>
          <w:p w14:paraId="409B48F9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Scheme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5209" w:type="dxa"/>
            <w:vAlign w:val="center"/>
          </w:tcPr>
          <w:p w14:paraId="17552EE7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http</w:t>
            </w:r>
            <w:r/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288" w:type="dxa"/>
            <w:vAlign w:val="center"/>
          </w:tcPr>
          <w:p w14:paraId="1E811945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Forward Hostname / IP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5209" w:type="dxa"/>
            <w:vAlign w:val="center"/>
          </w:tcPr>
          <w:p w14:paraId="3E2AFAA2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10.77.30.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  <w:t xml:space="preserve">100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 (Netbird VM IP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)</w:t>
            </w:r>
            <w:r/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288" w:type="dxa"/>
            <w:vAlign w:val="center"/>
            <w:vMerge w:val="restart"/>
          </w:tcPr>
          <w:p w14:paraId="7CA3EF1D">
            <w:pPr>
              <w:pBdr/>
              <w:spacing w:after="0" w:before="0" w:line="240" w:lineRule="auto"/>
              <w:ind/>
              <w:rPr>
                <w:rFonts w:ascii="Arial" w:hAnsi="Arial" w:eastAsia="Arial" w:cs="Arial"/>
                <w:color w:val="000000"/>
                <w:sz w:val="24"/>
                <w:lang w:val="en-US"/>
              </w:rPr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Forward Port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5209" w:type="dxa"/>
            <w:vAlign w:val="center"/>
            <w:vMerge w:val="restart"/>
          </w:tcPr>
          <w:p w14:paraId="4DF7A7CA">
            <w:pPr>
              <w:pBdr/>
              <w:spacing w:after="0" w:before="0" w:line="240" w:lineRule="auto"/>
              <w:ind/>
              <w:rPr>
                <w:rFonts w:ascii="Arial" w:hAnsi="Arial" w:eastAsia="Arial" w:cs="Arial"/>
                <w:color w:val="000000"/>
                <w:sz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8080</w:t>
            </w:r>
            <w:r>
              <w:rPr>
                <w:rFonts w:ascii="Arial" w:hAnsi="Arial" w:eastAsia="Arial" w:cs="Arial"/>
                <w:color w:val="000000"/>
                <w:sz w:val="24"/>
              </w:rPr>
            </w:r>
            <w:r>
              <w:rPr>
                <w:rFonts w:ascii="Arial" w:hAnsi="Arial" w:eastAsia="Arial" w:cs="Arial"/>
                <w:color w:val="000000"/>
                <w:sz w:val="24"/>
              </w:rPr>
            </w:r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288" w:type="dxa"/>
            <w:vAlign w:val="center"/>
            <w:vMerge w:val="restart"/>
          </w:tcPr>
          <w:p w14:paraId="5F30B0DC">
            <w:pPr>
              <w:pBdr/>
              <w:spacing w:after="0" w:before="0" w:line="240" w:lineRule="auto"/>
              <w:ind/>
              <w:rPr>
                <w:rFonts w:ascii="Arial" w:hAnsi="Arial" w:eastAsia="Arial" w:cs="Arial"/>
                <w:color w:val="000000"/>
                <w:sz w:val="24"/>
                <w:lang w:val="en-US"/>
              </w:rPr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Cache Assets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5209" w:type="dxa"/>
            <w:vAlign w:val="center"/>
            <w:vMerge w:val="restart"/>
          </w:tcPr>
          <w:p w14:paraId="15389A0F">
            <w:pPr>
              <w:pBdr/>
              <w:spacing w:after="0" w:before="0" w:line="240" w:lineRule="auto"/>
              <w:ind/>
              <w:rPr>
                <w:rFonts w:ascii="Arial" w:hAnsi="Arial" w:eastAsia="Arial" w:cs="Arial"/>
                <w:color w:val="000000"/>
                <w:sz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+</w:t>
            </w:r>
            <w:r>
              <w:rPr>
                <w:rFonts w:ascii="Arial" w:hAnsi="Arial" w:eastAsia="Arial" w:cs="Arial"/>
                <w:color w:val="000000"/>
                <w:sz w:val="24"/>
              </w:rPr>
            </w:r>
            <w:r>
              <w:rPr>
                <w:rFonts w:ascii="Arial" w:hAnsi="Arial" w:eastAsia="Arial" w:cs="Arial"/>
                <w:color w:val="000000"/>
                <w:sz w:val="24"/>
              </w:rPr>
            </w:r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288" w:type="dxa"/>
            <w:vAlign w:val="center"/>
            <w:vMerge w:val="restart"/>
          </w:tcPr>
          <w:p w14:paraId="34CDA6BF">
            <w:pPr>
              <w:pBdr/>
              <w:spacing w:line="360" w:lineRule="auto"/>
              <w:ind/>
              <w:jc w:val="left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  <w:t xml:space="preserve">Block Common Exploits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5209" w:type="dxa"/>
            <w:vAlign w:val="center"/>
            <w:vMerge w:val="restart"/>
          </w:tcPr>
          <w:p w14:paraId="6F798E70">
            <w:pPr>
              <w:pBdr/>
              <w:spacing w:after="0" w:before="0" w:line="240" w:lineRule="auto"/>
              <w:ind/>
              <w:rPr>
                <w:rFonts w:ascii="Arial" w:hAnsi="Arial" w:eastAsia="Arial" w:cs="Arial"/>
                <w:color w:val="000000"/>
                <w:sz w:val="24"/>
                <w:lang w:val="en-US"/>
              </w:rPr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+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</w:r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288" w:type="dxa"/>
            <w:vAlign w:val="center"/>
            <w:vMerge w:val="restart"/>
          </w:tcPr>
          <w:p w14:paraId="5B664EBF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  <w:t xml:space="preserve">Websockets Support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5209" w:type="dxa"/>
            <w:vAlign w:val="center"/>
            <w:vMerge w:val="restart"/>
          </w:tcPr>
          <w:p w14:paraId="30AE9D7F">
            <w:pPr>
              <w:pBdr/>
              <w:spacing w:after="0" w:before="0" w:line="240" w:lineRule="auto"/>
              <w:ind/>
              <w:rPr>
                <w:rFonts w:ascii="Arial" w:hAnsi="Arial" w:eastAsia="Arial" w:cs="Arial"/>
                <w:color w:val="000000"/>
                <w:sz w:val="24"/>
                <w:lang w:val="en-US"/>
              </w:rPr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+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</w:r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288" w:type="dxa"/>
            <w:vAlign w:val="center"/>
            <w:vMerge w:val="restart"/>
          </w:tcPr>
          <w:p w14:paraId="5FC2C4FC">
            <w:pPr>
              <w:pBdr/>
              <w:spacing w:line="360" w:lineRule="auto"/>
              <w:ind/>
              <w:jc w:val="both"/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en-US"/>
              </w:rPr>
              <w:t xml:space="preserve">HTTP/2 Support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5209" w:type="dxa"/>
            <w:vAlign w:val="center"/>
            <w:vMerge w:val="restart"/>
          </w:tcPr>
          <w:p w14:paraId="532DECAB">
            <w:pPr>
              <w:pBdr/>
              <w:spacing w:after="0" w:before="0" w:line="240" w:lineRule="auto"/>
              <w:ind/>
              <w:rPr>
                <w:rFonts w:ascii="Arial" w:hAnsi="Arial" w:eastAsia="Arial" w:cs="Arial"/>
                <w:color w:val="000000"/>
                <w:sz w:val="24"/>
                <w:lang w:val="en-US"/>
              </w:rPr>
            </w:pP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  <w:t xml:space="preserve">+</w:t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</w:r>
            <w:r>
              <w:rPr>
                <w:rFonts w:ascii="Arial" w:hAnsi="Arial" w:eastAsia="Arial" w:cs="Arial"/>
                <w:color w:val="000000"/>
                <w:sz w:val="24"/>
                <w:lang w:val="en-US"/>
              </w:rPr>
            </w:r>
          </w:p>
        </w:tc>
      </w:tr>
    </w:tbl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 w:after="105" w:before="315" w:line="360" w:lineRule="auto"/>
        <w:ind w:left="-3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</w:r>
      <w:bookmarkStart w:id="9" w:name="advanced_skirtukas_custom_nginx_c_a69f56"/>
      <w:r>
        <w:rPr>
          <w:rFonts w:ascii="Arial" w:hAnsi="Arial" w:eastAsia="Arial" w:cs="Arial"/>
          <w:b/>
          <w:color w:val="000000" w:themeColor="text1"/>
          <w:sz w:val="24"/>
          <w:szCs w:val="24"/>
        </w:rPr>
        <w:t xml:space="preserve">Advanced skirtukas (custom Nginx configuration)</w:t>
      </w:r>
      <w:bookmarkEnd w:id="9"/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 w:after="210" w:line="360" w:lineRule="auto"/>
        <w:ind/>
        <w:jc w:val="both"/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Šis laukas priima kodą, kuris įklijuojamas Į server bloko </w:t>
      </w:r>
      <w:r>
        <w:rPr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vid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ų, ne visą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  <w:shd w:val="clear" w:color="auto" w:fill="f8f8fa"/>
        </w:rPr>
        <w:t xml:space="preserve">server {}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 bloką. </w:t>
      </w:r>
      <w:r>
        <w:rPr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Nereikia</w:t>
      </w:r>
      <w:r>
        <w:rPr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rašyti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  <w:shd w:val="clear" w:color="auto" w:fill="f8f8fa"/>
        </w:rPr>
        <w:t xml:space="preserve">listen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,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  <w:shd w:val="clear" w:color="auto" w:fill="f8f8fa"/>
        </w:rPr>
        <w:t xml:space="preserve">server_name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,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  <w:shd w:val="clear" w:color="auto" w:fill="f8f8fa"/>
        </w:rPr>
        <w:t xml:space="preserve">ssl_certificate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 eilučių</w:t>
      </w:r>
      <w:r>
        <w:rPr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, kaip vaizduojama Netbird dokumentacijoje, </w:t>
      </w:r>
      <w:r>
        <w:rPr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nes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 tai jau tvarko NPM per savo GUI/SSL skirtukus. </w:t>
      </w:r>
      <w:r>
        <w:rPr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Taip pat nereikia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 rašyti antro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  <w:shd w:val="clear" w:color="auto" w:fill="f8f8fa"/>
        </w:rPr>
        <w:t xml:space="preserve">location 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bloko</w:t>
      </w:r>
      <w:r>
        <w:rPr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,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 jis jau sugeneruotas automatiškai iš Details skirtuko:</w:t>
      </w: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r>
    </w:p>
    <w:p>
      <w:pPr>
        <w:pBdr/>
        <w:shd w:val="clear" w:color="auto" w:fill="f8f8fa"/>
        <w:spacing w:line="336" w:lineRule="auto"/>
        <w:ind/>
        <w:jc w:val="left"/>
        <w:rPr>
          <w:rFonts w:ascii="Arial" w:hAnsi="Arial" w:cs="Arial"/>
          <w:color w:val="000000" w:themeColor="text1"/>
          <w:sz w:val="24"/>
          <w:szCs w:val="24"/>
        </w:rPr>
      </w:pP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client_header_timeout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1d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;</w:t>
        <w:br/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client_body_timeout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1d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;</w:t>
        <w:br/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grpc_set_header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 X-Forwarded-For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$proxy_add_x_forwarded_for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;</w:t>
        <w:br/>
        <w:br/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location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~ ^/(relay|ws-proxy/)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 {</w:t>
        <w:br/>
        <w:t xml:space="preserve">   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proxy_pass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 http://10.77.30.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100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:8081;</w:t>
        <w:br/>
        <w:t xml:space="preserve">   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proxy_http_version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1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.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1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;</w:t>
        <w:br/>
        <w:t xml:space="preserve">   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proxy_set_header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 Upgrade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$http_upgrade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;</w:t>
        <w:br/>
        <w:t xml:space="preserve">   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proxy_set_header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 Connection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"Upgrade"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;</w:t>
        <w:br/>
        <w:t xml:space="preserve">   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proxy_set_header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 Host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$host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;</w:t>
        <w:br/>
        <w:t xml:space="preserve">   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proxy_read_timeout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1d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;</w:t>
        <w:br/>
        <w:t xml:space="preserve">}</w:t>
        <w:br/>
        <w:br/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location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~ ^/(signalexchange\.SignalExchange|management\.(ManagementService|ProxyService))/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 {</w:t>
        <w:br/>
        <w:t xml:space="preserve">   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grpc_pass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 grpc://10.77.30.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100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:8081;</w:t>
        <w:br/>
        <w:t xml:space="preserve">   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grpc_read_timeout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1d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;</w:t>
        <w:br/>
        <w:t xml:space="preserve">   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grpc_send_timeout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1d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;</w:t>
        <w:br/>
        <w:t xml:space="preserve">   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grpc_socket_keepalive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on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;</w:t>
        <w:br/>
        <w:t xml:space="preserve">}</w:t>
        <w:br/>
        <w:br/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location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~ ^/(api|oauth2)/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 {</w:t>
        <w:br/>
        <w:t xml:space="preserve">   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proxy_pass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 http://10.77.30.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100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:8081;</w:t>
        <w:br/>
        <w:t xml:space="preserve">   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proxy_set_header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 Host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$host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</w:rPr>
        <w:t xml:space="preserve">;</w:t>
        <w:br/>
        <w:t xml:space="preserve">}</w:t>
        <w:br/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 w:after="210" w:line="360" w:lineRule="auto"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Netbird VPN naudoja skirtingus protokolus skirtingiems keliams — WebSocket (relay), native gRPC per HTTP/2 (signal/management), ir paprastą HTTP (API/oauth2). Standartinis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  <w:shd w:val="clear" w:color="auto" w:fill="f8f8fa"/>
        </w:rPr>
        <w:t xml:space="preserve">proxy_pass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 veikia tik paskutiniam tipui; gRPC reikalauja specialios </w:t>
      </w:r>
      <w:r>
        <w:rPr>
          <w:rStyle w:val="898"/>
          <w:rFonts w:ascii="Arial" w:hAnsi="Arial" w:eastAsia="Arial" w:cs="Arial"/>
          <w:color w:val="000000" w:themeColor="text1"/>
          <w:sz w:val="24"/>
          <w:szCs w:val="24"/>
          <w:shd w:val="clear" w:color="auto" w:fill="f8f8fa"/>
        </w:rPr>
        <w:t xml:space="preserve">grpc_pass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 direktyvos, kitaip ryšys nutrūksta su klaidomis.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36"/>
        <w:pBdr/>
        <w:spacing/>
        <w:ind/>
        <w:jc w:val="both"/>
        <w:rPr>
          <w:color w:val="000000" w:themeColor="text1"/>
          <w14:ligatures w14:val="none"/>
        </w:rPr>
      </w:pPr>
      <w:r>
        <w:rPr>
          <w:color w:val="000000" w:themeColor="text1"/>
        </w:rPr>
      </w:r>
      <w:bookmarkStart w:id="11" w:name="bm_10_8_žingsnis_viešas_dns_įraša_f7f36e"/>
      <w:r>
        <w:rPr>
          <w:color w:val="000000" w:themeColor="text1"/>
        </w:rPr>
        <w:t xml:space="preserve">1.8 ŽINGSNIS. Viešas DNS įrašas (Cloudflare)</w:t>
      </w:r>
      <w:bookmarkEnd w:id="11"/>
      <w:r>
        <w:rPr>
          <w:color w:val="000000" w:themeColor="text1"/>
        </w:rPr>
      </w:r>
      <w:r>
        <w:rPr>
          <w:color w:val="000000" w:themeColor="text1"/>
          <w14:ligatures w14:val="none"/>
        </w:rPr>
      </w:r>
    </w:p>
    <w:p>
      <w:pPr>
        <w:pBdr/>
        <w:spacing w:after="210" w:line="360" w:lineRule="auto"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Cloudflare DNS Dashboard → domenas → DNS → Add record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tbl>
      <w:tblPr>
        <w:tblStyle w:val="709"/>
        <w:tblInd w:w="0" w:type="dxa"/>
        <w:tblW w:w="5000" w:type="pct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2900"/>
        <w:gridCol w:w="5511"/>
      </w:tblGrid>
      <w:tr>
        <w:trPr/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900" w:type="dxa"/>
            <w:vAlign w:val="center"/>
          </w:tcPr>
          <w:p w14:paraId="1D01F3E4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Field</w:t>
            </w:r>
            <w:r/>
          </w:p>
        </w:tc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5511" w:type="dxa"/>
            <w:vAlign w:val="center"/>
          </w:tcPr>
          <w:p w14:paraId="791E20A4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Value</w:t>
            </w:r>
            <w:r/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900" w:type="dxa"/>
            <w:vAlign w:val="center"/>
          </w:tcPr>
          <w:p w14:paraId="05F3D1DC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Type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5511" w:type="dxa"/>
            <w:vAlign w:val="center"/>
          </w:tcPr>
          <w:p w14:paraId="2C5C503A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A</w:t>
            </w:r>
            <w:r/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900" w:type="dxa"/>
            <w:vAlign w:val="center"/>
          </w:tcPr>
          <w:p w14:paraId="43E8B9E9">
            <w:pPr>
              <w:pBdr/>
              <w:spacing w:after="0" w:before="0" w:line="240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Name</w:t>
            </w:r>
            <w:r/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5511" w:type="dxa"/>
            <w:vAlign w:val="center"/>
          </w:tcPr>
          <w:p w14:paraId="4CD32F79">
            <w:pPr>
              <w:pBdr/>
              <w:spacing w:line="360" w:lineRule="auto"/>
              <w:ind/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Netbird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900" w:type="dxa"/>
            <w:vAlign w:val="center"/>
          </w:tcPr>
          <w:p w14:paraId="5E4C6841">
            <w:pPr>
              <w:pBdr/>
              <w:spacing w:line="360" w:lineRule="auto"/>
              <w:ind/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IPv4 address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5511" w:type="dxa"/>
            <w:vAlign w:val="center"/>
          </w:tcPr>
          <w:p w14:paraId="5D51EE15">
            <w:pPr>
              <w:pBdr/>
              <w:spacing w:line="360" w:lineRule="auto"/>
              <w:ind/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  <w:lang w:val="lt-LT"/>
              </w:rPr>
              <w:t xml:space="preserve">Public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 IP (</w:t>
            </w:r>
            <w:hyperlink r:id="rId9" w:tooltip="http://whatismyip.com" w:history="1">
              <w:r>
                <w:rPr>
                  <w:rFonts w:ascii="Arial" w:hAnsi="Arial" w:eastAsia="Arial" w:cs="Arial"/>
                  <w:color w:val="000000" w:themeColor="text1"/>
                  <w:sz w:val="24"/>
                  <w:szCs w:val="24"/>
                  <w:u w:val="single"/>
                </w:rPr>
                <w:t xml:space="preserve">whatismyip.com</w:t>
              </w:r>
            </w:hyperlink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)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900" w:type="dxa"/>
            <w:vAlign w:val="center"/>
            <w:vMerge w:val="restart"/>
          </w:tcPr>
          <w:p w14:paraId="0B0493EE">
            <w:pPr>
              <w:pBdr/>
              <w:spacing w:line="360" w:lineRule="auto"/>
              <w:ind/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Proxy status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5511" w:type="dxa"/>
            <w:vAlign w:val="center"/>
            <w:vMerge w:val="restart"/>
          </w:tcPr>
          <w:p w14:paraId="2C499473">
            <w:pPr>
              <w:pBdr/>
              <w:spacing w:line="360" w:lineRule="auto"/>
              <w:ind/>
              <w:jc w:val="both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DNS only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</w:tr>
    </w:tbl>
    <w:p>
      <w:pPr>
        <w:pBdr/>
        <w:spacing w:after="210" w:line="360" w:lineRule="auto"/>
        <w:ind/>
        <w:jc w:val="both"/>
        <w:rPr>
          <w:rFonts w:ascii="Arial" w:hAnsi="Arial" w:cs="Arial"/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</w:p>
    <w:p w14:paraId="4262EF0B">
      <w:pPr>
        <w:pStyle w:val="83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eastAsia="Arial" w:cs="Arial"/>
          <w:color w:val="000000" w:themeColor="text1"/>
        </w:rPr>
        <w:t xml:space="preserve">1.</w:t>
      </w:r>
      <w:r>
        <w:rPr>
          <w:rFonts w:ascii="Arial" w:hAnsi="Arial" w:eastAsia="Arial" w:cs="Arial"/>
          <w:color w:val="000000" w:themeColor="text1"/>
          <w:lang w:val="en-US"/>
        </w:rPr>
        <w:t xml:space="preserve">9</w:t>
      </w:r>
      <w:r>
        <w:rPr>
          <w:rFonts w:ascii="Arial" w:hAnsi="Arial" w:eastAsia="Arial" w:cs="Arial"/>
          <w:color w:val="000000" w:themeColor="text1"/>
        </w:rPr>
        <w:t xml:space="preserve"> ŽINGSNIS.</w:t>
      </w:r>
      <w:r>
        <w:rPr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 ISP Router’io NAT port forward’inimas.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6B8396CF">
      <w:pPr>
        <w:pBdr/>
        <w:tabs>
          <w:tab w:val="left" w:leader="none" w:pos="8702"/>
        </w:tabs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  <w:t xml:space="preserve">OPNsense WAN gauna adresą 192.168.1.156 per DHCP iš ISP maršrutizatoriaus, o tai reiškia, kad tarp interneto ir OPNsense stovi </w:t>
      </w:r>
      <w:r>
        <w:rPr>
          <w:rFonts w:ascii="Arial" w:hAnsi="Arial" w:eastAsia="Arial" w:cs="Arial"/>
          <w:sz w:val="24"/>
          <w:szCs w:val="24"/>
          <w:lang w:val="en-US"/>
        </w:rPr>
        <w:t xml:space="preserve">dar vienas</w:t>
      </w:r>
      <w:r>
        <w:rPr>
          <w:rFonts w:ascii="Arial" w:hAnsi="Arial" w:eastAsia="Arial" w:cs="Arial"/>
          <w:sz w:val="24"/>
          <w:szCs w:val="24"/>
        </w:rPr>
        <w:t xml:space="preserve"> NAT sluoksnis, kurio OPNsense </w:t>
      </w:r>
      <w:r>
        <w:rPr>
          <w:rFonts w:ascii="Arial" w:hAnsi="Arial" w:eastAsia="Arial" w:cs="Arial"/>
          <w:sz w:val="24"/>
          <w:szCs w:val="24"/>
          <w:lang w:val="en-US"/>
        </w:rPr>
        <w:t xml:space="preserve">nevaldo</w:t>
      </w:r>
      <w:r>
        <w:rPr>
          <w:rFonts w:ascii="Arial" w:hAnsi="Arial" w:eastAsia="Arial" w:cs="Arial"/>
          <w:sz w:val="24"/>
          <w:szCs w:val="24"/>
        </w:rPr>
        <w:t xml:space="preserve">.</w:t>
      </w:r>
      <w:r>
        <w:rPr>
          <w:rFonts w:ascii="Arial" w:hAnsi="Arial" w:eastAsia="Arial" w:cs="Arial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Arial" w:hAnsi="Arial" w:eastAsia="Arial" w:cs="Arial"/>
          <w:sz w:val="24"/>
          <w:szCs w:val="24"/>
        </w:rPr>
        <w:t xml:space="preserve">Jei sukonfigūruoj</w:t>
      </w:r>
      <w:r>
        <w:rPr>
          <w:rFonts w:ascii="Arial" w:hAnsi="Arial" w:eastAsia="Arial" w:cs="Arial"/>
          <w:sz w:val="24"/>
          <w:szCs w:val="24"/>
          <w:lang w:val="en-US"/>
        </w:rPr>
        <w:t xml:space="preserve">ama tik</w:t>
      </w:r>
      <w:r>
        <w:rPr>
          <w:rFonts w:ascii="Arial" w:hAnsi="Arial" w:eastAsia="Arial" w:cs="Arial"/>
          <w:sz w:val="24"/>
          <w:szCs w:val="24"/>
        </w:rPr>
        <w:t xml:space="preserve"> OPNsense pus</w:t>
      </w:r>
      <w:r>
        <w:rPr>
          <w:rFonts w:ascii="Arial" w:hAnsi="Arial" w:eastAsia="Arial" w:cs="Arial"/>
          <w:sz w:val="24"/>
          <w:szCs w:val="24"/>
        </w:rPr>
        <w:t xml:space="preserve">ė,tai paketas iš interneto niekada nepasieks OPNsense WAN sąsajos — jis sustos jau pačiame ISP routeryje, dar prieš patekdamas į  Proxmox serverį. Todėl </w:t>
      </w:r>
      <w:r>
        <w:rPr>
          <w:rFonts w:ascii="Arial" w:hAnsi="Arial" w:eastAsia="Arial" w:cs="Arial"/>
          <w:sz w:val="24"/>
          <w:szCs w:val="24"/>
        </w:rPr>
        <w:t xml:space="preserve">ISP maršrutizatoriaus valdymo sąsajoje turime sukurti tris naujas port forward taisykles:</w:t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  <w:highlight w:val="none"/>
        </w:rPr>
      </w:r>
    </w:p>
    <w:tbl>
      <w:tblPr>
        <w:tblStyle w:val="709"/>
        <w:tblInd w:w="0" w:type="dxa"/>
        <w:tblW w:w="5000" w:type="pct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05"/>
        <w:gridCol w:w="1000"/>
        <w:gridCol w:w="1949"/>
        <w:gridCol w:w="1464"/>
        <w:gridCol w:w="1364"/>
        <w:gridCol w:w="3272"/>
      </w:tblGrid>
      <w:tr>
        <w:trPr/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05" w:type="dxa"/>
            <w:vAlign w:val="center"/>
          </w:tcPr>
          <w:p w14:paraId="3EDC9974">
            <w:pPr>
              <w:pBdr/>
              <w:spacing w:after="0" w:before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000" w:type="dxa"/>
            <w:vAlign w:val="center"/>
          </w:tcPr>
          <w:p w14:paraId="1BA5320D">
            <w:pPr>
              <w:pBdr/>
              <w:spacing w:after="0" w:before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Protocol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49" w:type="dxa"/>
            <w:vAlign w:val="center"/>
          </w:tcPr>
          <w:p w14:paraId="6089F8B9">
            <w:pPr>
              <w:pBdr/>
              <w:spacing w:after="0" w:before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External/WAN Port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464" w:type="dxa"/>
            <w:vAlign w:val="center"/>
          </w:tcPr>
          <w:p w14:paraId="206FDF58">
            <w:pPr>
              <w:pBdr/>
              <w:spacing w:after="0" w:before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Internal IP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364" w:type="dxa"/>
            <w:vAlign w:val="center"/>
          </w:tcPr>
          <w:p w14:paraId="49CB59C7">
            <w:pPr>
              <w:pBdr/>
              <w:spacing w:after="0" w:before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Internal Port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shd w:val="clear" w:color="f2f2f2" w:fill="f2f2f2"/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272" w:type="dxa"/>
            <w:vAlign w:val="center"/>
          </w:tcPr>
          <w:p w14:paraId="26D7FD03">
            <w:pPr>
              <w:pBdr/>
              <w:spacing w:after="0" w:before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Description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05" w:type="dxa"/>
            <w:vAlign w:val="center"/>
          </w:tcPr>
          <w:p w14:paraId="209CA940">
            <w:pPr>
              <w:pBdr/>
              <w:spacing w:after="0" w:before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1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000" w:type="dxa"/>
            <w:vAlign w:val="center"/>
          </w:tcPr>
          <w:p w14:paraId="7F84F370">
            <w:pPr>
              <w:pBdr/>
              <w:spacing w:after="0" w:before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TCP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49" w:type="dxa"/>
            <w:vAlign w:val="center"/>
          </w:tcPr>
          <w:p w14:paraId="7CC6FA1A">
            <w:pPr>
              <w:pBdr/>
              <w:spacing w:after="0" w:before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443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464" w:type="dxa"/>
            <w:vAlign w:val="center"/>
          </w:tcPr>
          <w:p w14:paraId="6F8337EC">
            <w:pPr>
              <w:pBdr/>
              <w:spacing w:after="0" w:before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192.168.1.156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364" w:type="dxa"/>
            <w:vAlign w:val="center"/>
          </w:tcPr>
          <w:p w14:paraId="4C4BF086">
            <w:pPr>
              <w:pBdr/>
              <w:spacing w:after="0" w:before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443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272" w:type="dxa"/>
            <w:vAlign w:val="center"/>
          </w:tcPr>
          <w:p w14:paraId="0912D7CA">
            <w:pPr>
              <w:pBdr/>
              <w:spacing w:after="0" w:before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HTTPS to OPNsense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05" w:type="dxa"/>
            <w:vAlign w:val="center"/>
          </w:tcPr>
          <w:p w14:paraId="7172E738">
            <w:pPr>
              <w:pBdr/>
              <w:spacing w:after="0" w:before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2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000" w:type="dxa"/>
            <w:vAlign w:val="center"/>
          </w:tcPr>
          <w:p w14:paraId="3031F68A">
            <w:pPr>
              <w:pBdr/>
              <w:spacing w:after="0" w:before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TCP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49" w:type="dxa"/>
            <w:vAlign w:val="center"/>
          </w:tcPr>
          <w:p w14:paraId="7445F04C">
            <w:pPr>
              <w:pBdr/>
              <w:spacing w:after="0" w:before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80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464" w:type="dxa"/>
            <w:vAlign w:val="center"/>
          </w:tcPr>
          <w:p w14:paraId="226264D3">
            <w:pPr>
              <w:pBdr/>
              <w:spacing w:after="0" w:before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192.168.1.156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364" w:type="dxa"/>
            <w:vAlign w:val="center"/>
          </w:tcPr>
          <w:p w14:paraId="2D8BDAE2">
            <w:pPr>
              <w:pBdr/>
              <w:spacing w:after="0" w:before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80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272" w:type="dxa"/>
            <w:vAlign w:val="center"/>
          </w:tcPr>
          <w:p w14:paraId="18867D24">
            <w:pPr>
              <w:pBdr/>
              <w:spacing w:after="0" w:before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HTTP to OPNsense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/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05" w:type="dxa"/>
            <w:vAlign w:val="center"/>
          </w:tcPr>
          <w:p w14:paraId="77BABA58">
            <w:pPr>
              <w:pBdr/>
              <w:spacing w:after="0" w:before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3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000" w:type="dxa"/>
            <w:vAlign w:val="center"/>
          </w:tcPr>
          <w:p w14:paraId="2919888E">
            <w:pPr>
              <w:pBdr/>
              <w:spacing w:after="0" w:before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UDP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49" w:type="dxa"/>
            <w:vAlign w:val="center"/>
          </w:tcPr>
          <w:p w14:paraId="21E47B56">
            <w:pPr>
              <w:pBdr/>
              <w:spacing w:after="0" w:before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3478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464" w:type="dxa"/>
            <w:vAlign w:val="center"/>
          </w:tcPr>
          <w:p w14:paraId="69ECCE65">
            <w:pPr>
              <w:pBdr/>
              <w:spacing w:after="0" w:before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192.168.1.156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364" w:type="dxa"/>
            <w:vAlign w:val="center"/>
          </w:tcPr>
          <w:p w14:paraId="51DA9970">
            <w:pPr>
              <w:pBdr/>
              <w:spacing w:after="0" w:before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3478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single" w:color="dddddd" w:sz="6" w:space="0"/>
              <w:left w:val="single" w:color="dddddd" w:sz="6" w:space="0"/>
              <w:bottom w:val="single" w:color="dddddd" w:sz="6" w:space="0"/>
              <w:right w:val="single" w:color="dddddd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272" w:type="dxa"/>
            <w:vAlign w:val="center"/>
          </w:tcPr>
          <w:p w14:paraId="4E4E70DF">
            <w:pPr>
              <w:pBdr/>
              <w:spacing w:after="0" w:before="0" w:line="240" w:lineRule="auto"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Netbird STUN/TURN to OPNsense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</w:tr>
    </w:tbl>
    <w:p w14:paraId="7925EE3F">
      <w:pPr>
        <w:pBdr/>
        <w:tabs>
          <w:tab w:val="left" w:leader="none" w:pos="8702"/>
        </w:tabs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39B54AB1">
      <w:pPr>
        <w:pBdr/>
        <w:spacing w:after="210" w:line="360" w:lineRule="auto"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109CE2D6">
      <w:pPr>
        <w:pBdr/>
        <w:spacing w:after="210" w:line="360" w:lineRule="auto"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23490B9E">
      <w:pPr>
        <w:pBdr/>
        <w:spacing w:after="210" w:line="360" w:lineRule="auto"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sectPr>
      <w:footnotePr/>
      <w:endnotePr/>
      <w:type w:val="nextPage"/>
      <w:pgSz w:h="15840" w:orient="portrait" w:w="12240"/>
      <w:pgMar w:top="1365" w:right="1365" w:bottom="1365" w:left="1365" w:header="720" w:footer="72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nsolas">
    <w:panose1 w:val="020B0604020202020204"/>
  </w:font>
  <w:font w:name="Arial">
    <w:panose1 w:val="020B0604020202020204"/>
  </w:font>
  <w:font w:name="Georgia">
    <w:panose1 w:val="02020502060505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tabs>
          <w:tab w:val="num" w:leader="none" w:pos="900"/>
        </w:tabs>
        <w:spacing/>
        <w:ind w:hanging="360" w:left="5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tabs>
          <w:tab w:val="num" w:leader="none" w:pos="900"/>
        </w:tabs>
        <w:spacing/>
        <w:ind w:hanging="360" w:left="5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tabs>
          <w:tab w:val="num" w:leader="none" w:pos="900"/>
        </w:tabs>
        <w:spacing/>
        <w:ind w:hanging="360" w:left="5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tabs>
          <w:tab w:val="num" w:leader="none" w:pos="900"/>
        </w:tabs>
        <w:spacing/>
        <w:ind w:hanging="360" w:left="5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Georgia" w:hAnsiTheme="minorHAnsi" w:eastAsiaTheme="minorHAnsi" w:cstheme="minorBidi"/>
        <w:sz w:val="21"/>
        <w:szCs w:val="22"/>
        <w:lang w:val="lt-LT" w:eastAsia="en-US" w:bidi="ar-SA"/>
      </w:rPr>
    </w:rPrDefault>
    <w:pPrDefault>
      <w:pPr>
        <w:pBdr/>
        <w:spacing w:after="120" w:afterAutospacing="0" w:before="0" w:beforeAutospacing="0" w:line="240" w:lineRule="atLeast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9">
    <w:name w:val="Table Grid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Table Grid Light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1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2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1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2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3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5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6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5">
    <w:name w:val="Heading 1"/>
    <w:basedOn w:val="897"/>
    <w:next w:val="897"/>
    <w:link w:val="84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6">
    <w:name w:val="Heading 2"/>
    <w:basedOn w:val="897"/>
    <w:next w:val="897"/>
    <w:link w:val="84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7">
    <w:name w:val="Heading 3"/>
    <w:basedOn w:val="897"/>
    <w:next w:val="897"/>
    <w:link w:val="84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8">
    <w:name w:val="Heading 4"/>
    <w:basedOn w:val="897"/>
    <w:next w:val="897"/>
    <w:link w:val="84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9">
    <w:name w:val="Heading 5"/>
    <w:basedOn w:val="897"/>
    <w:next w:val="897"/>
    <w:link w:val="85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0">
    <w:name w:val="Heading 6"/>
    <w:basedOn w:val="897"/>
    <w:next w:val="897"/>
    <w:link w:val="85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1">
    <w:name w:val="Heading 7"/>
    <w:basedOn w:val="897"/>
    <w:next w:val="897"/>
    <w:link w:val="85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97"/>
    <w:next w:val="897"/>
    <w:link w:val="85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97"/>
    <w:next w:val="897"/>
    <w:link w:val="85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 w:default="1">
    <w:name w:val="Default Paragraph Font"/>
    <w:uiPriority w:val="1"/>
    <w:semiHidden/>
    <w:unhideWhenUsed/>
    <w:pPr>
      <w:pBdr/>
      <w:spacing/>
      <w:ind/>
    </w:pPr>
  </w:style>
  <w:style w:type="numbering" w:styleId="845" w:default="1">
    <w:name w:val="No List"/>
    <w:uiPriority w:val="99"/>
    <w:semiHidden/>
    <w:unhideWhenUsed/>
    <w:pPr>
      <w:pBdr/>
      <w:spacing/>
      <w:ind/>
    </w:pPr>
  </w:style>
  <w:style w:type="character" w:styleId="846">
    <w:name w:val="Heading 1 Char"/>
    <w:basedOn w:val="844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7">
    <w:name w:val="Heading 2 Char"/>
    <w:basedOn w:val="844"/>
    <w:link w:val="8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8">
    <w:name w:val="Heading 3 Char"/>
    <w:basedOn w:val="844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9">
    <w:name w:val="Heading 4 Char"/>
    <w:basedOn w:val="84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0">
    <w:name w:val="Heading 5 Char"/>
    <w:basedOn w:val="844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1">
    <w:name w:val="Heading 6 Char"/>
    <w:basedOn w:val="844"/>
    <w:link w:val="8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2">
    <w:name w:val="Heading 7 Char"/>
    <w:basedOn w:val="84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3">
    <w:name w:val="Heading 8 Char"/>
    <w:basedOn w:val="84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4">
    <w:name w:val="Heading 9 Char"/>
    <w:basedOn w:val="84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5">
    <w:name w:val="Title"/>
    <w:basedOn w:val="897"/>
    <w:next w:val="897"/>
    <w:link w:val="85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6">
    <w:name w:val="Title Char"/>
    <w:basedOn w:val="844"/>
    <w:link w:val="85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7">
    <w:name w:val="Subtitle"/>
    <w:basedOn w:val="897"/>
    <w:next w:val="897"/>
    <w:link w:val="85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8">
    <w:name w:val="Subtitle Char"/>
    <w:basedOn w:val="844"/>
    <w:link w:val="85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9">
    <w:name w:val="Quote"/>
    <w:basedOn w:val="897"/>
    <w:next w:val="897"/>
    <w:link w:val="86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0">
    <w:name w:val="Quote Char"/>
    <w:basedOn w:val="844"/>
    <w:link w:val="85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61">
    <w:name w:val="List Paragraph"/>
    <w:basedOn w:val="897"/>
    <w:uiPriority w:val="34"/>
    <w:qFormat/>
    <w:pPr>
      <w:pBdr/>
      <w:spacing/>
      <w:ind w:left="720"/>
      <w:contextualSpacing w:val="true"/>
    </w:pPr>
  </w:style>
  <w:style w:type="character" w:styleId="862">
    <w:name w:val="Intense Emphasis"/>
    <w:basedOn w:val="84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3">
    <w:name w:val="Intense Quote"/>
    <w:basedOn w:val="897"/>
    <w:next w:val="897"/>
    <w:link w:val="86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4">
    <w:name w:val="Intense Quote Char"/>
    <w:basedOn w:val="844"/>
    <w:link w:val="86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5">
    <w:name w:val="Intense Reference"/>
    <w:basedOn w:val="84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6">
    <w:name w:val="No Spacing"/>
    <w:basedOn w:val="897"/>
    <w:uiPriority w:val="1"/>
    <w:qFormat/>
    <w:pPr>
      <w:pBdr/>
      <w:spacing w:after="0" w:line="240" w:lineRule="auto"/>
      <w:ind/>
    </w:pPr>
  </w:style>
  <w:style w:type="character" w:styleId="867">
    <w:name w:val="Subtle Emphasis"/>
    <w:basedOn w:val="8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8">
    <w:name w:val="Emphasis"/>
    <w:basedOn w:val="844"/>
    <w:uiPriority w:val="20"/>
    <w:qFormat/>
    <w:pPr>
      <w:pBdr/>
      <w:spacing/>
      <w:ind/>
    </w:pPr>
    <w:rPr>
      <w:i/>
      <w:iCs/>
    </w:rPr>
  </w:style>
  <w:style w:type="character" w:styleId="869">
    <w:name w:val="Strong"/>
    <w:basedOn w:val="844"/>
    <w:uiPriority w:val="22"/>
    <w:qFormat/>
    <w:pPr>
      <w:pBdr/>
      <w:spacing/>
      <w:ind/>
    </w:pPr>
    <w:rPr>
      <w:b/>
      <w:bCs/>
    </w:rPr>
  </w:style>
  <w:style w:type="character" w:styleId="870">
    <w:name w:val="Subtle Reference"/>
    <w:basedOn w:val="8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1">
    <w:name w:val="Book Title"/>
    <w:basedOn w:val="8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2">
    <w:name w:val="Header"/>
    <w:basedOn w:val="897"/>
    <w:link w:val="87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3">
    <w:name w:val="Header Char"/>
    <w:basedOn w:val="844"/>
    <w:link w:val="872"/>
    <w:uiPriority w:val="99"/>
    <w:pPr>
      <w:pBdr/>
      <w:spacing/>
      <w:ind/>
    </w:pPr>
  </w:style>
  <w:style w:type="paragraph" w:styleId="874">
    <w:name w:val="Footer"/>
    <w:basedOn w:val="897"/>
    <w:link w:val="87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5">
    <w:name w:val="Footer Char"/>
    <w:basedOn w:val="844"/>
    <w:link w:val="874"/>
    <w:uiPriority w:val="99"/>
    <w:pPr>
      <w:pBdr/>
      <w:spacing/>
      <w:ind/>
    </w:pPr>
  </w:style>
  <w:style w:type="paragraph" w:styleId="876">
    <w:name w:val="Caption"/>
    <w:basedOn w:val="897"/>
    <w:next w:val="89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7">
    <w:name w:val="footnote text"/>
    <w:basedOn w:val="897"/>
    <w:link w:val="8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8">
    <w:name w:val="Footnote Text Char"/>
    <w:basedOn w:val="844"/>
    <w:link w:val="877"/>
    <w:uiPriority w:val="99"/>
    <w:semiHidden/>
    <w:pPr>
      <w:pBdr/>
      <w:spacing/>
      <w:ind/>
    </w:pPr>
    <w:rPr>
      <w:sz w:val="20"/>
      <w:szCs w:val="20"/>
    </w:rPr>
  </w:style>
  <w:style w:type="character" w:styleId="879">
    <w:name w:val="foot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paragraph" w:styleId="880">
    <w:name w:val="endnote text"/>
    <w:basedOn w:val="897"/>
    <w:link w:val="8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1">
    <w:name w:val="Endnote Text Char"/>
    <w:basedOn w:val="844"/>
    <w:link w:val="880"/>
    <w:uiPriority w:val="99"/>
    <w:semiHidden/>
    <w:pPr>
      <w:pBdr/>
      <w:spacing/>
      <w:ind/>
    </w:pPr>
    <w:rPr>
      <w:sz w:val="20"/>
      <w:szCs w:val="20"/>
    </w:rPr>
  </w:style>
  <w:style w:type="character" w:styleId="882">
    <w:name w:val="end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character" w:styleId="883">
    <w:name w:val="Hyperlink"/>
    <w:basedOn w:val="84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4">
    <w:name w:val="FollowedHyperlink"/>
    <w:basedOn w:val="84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5">
    <w:name w:val="toc 1"/>
    <w:basedOn w:val="897"/>
    <w:next w:val="897"/>
    <w:uiPriority w:val="39"/>
    <w:unhideWhenUsed/>
    <w:pPr>
      <w:pBdr/>
      <w:spacing w:after="100"/>
      <w:ind/>
    </w:pPr>
  </w:style>
  <w:style w:type="paragraph" w:styleId="886">
    <w:name w:val="toc 2"/>
    <w:basedOn w:val="897"/>
    <w:next w:val="897"/>
    <w:uiPriority w:val="39"/>
    <w:unhideWhenUsed/>
    <w:pPr>
      <w:pBdr/>
      <w:spacing w:after="100"/>
      <w:ind w:left="220"/>
    </w:pPr>
  </w:style>
  <w:style w:type="paragraph" w:styleId="887">
    <w:name w:val="toc 3"/>
    <w:basedOn w:val="897"/>
    <w:next w:val="897"/>
    <w:uiPriority w:val="39"/>
    <w:unhideWhenUsed/>
    <w:pPr>
      <w:pBdr/>
      <w:spacing w:after="100"/>
      <w:ind w:left="440"/>
    </w:pPr>
  </w:style>
  <w:style w:type="paragraph" w:styleId="888">
    <w:name w:val="toc 4"/>
    <w:basedOn w:val="897"/>
    <w:next w:val="897"/>
    <w:uiPriority w:val="39"/>
    <w:unhideWhenUsed/>
    <w:pPr>
      <w:pBdr/>
      <w:spacing w:after="100"/>
      <w:ind w:left="660"/>
    </w:pPr>
  </w:style>
  <w:style w:type="paragraph" w:styleId="889">
    <w:name w:val="toc 5"/>
    <w:basedOn w:val="897"/>
    <w:next w:val="897"/>
    <w:uiPriority w:val="39"/>
    <w:unhideWhenUsed/>
    <w:pPr>
      <w:pBdr/>
      <w:spacing w:after="100"/>
      <w:ind w:left="880"/>
    </w:pPr>
  </w:style>
  <w:style w:type="paragraph" w:styleId="890">
    <w:name w:val="toc 6"/>
    <w:basedOn w:val="897"/>
    <w:next w:val="897"/>
    <w:uiPriority w:val="39"/>
    <w:unhideWhenUsed/>
    <w:pPr>
      <w:pBdr/>
      <w:spacing w:after="100"/>
      <w:ind w:left="1100"/>
    </w:pPr>
  </w:style>
  <w:style w:type="paragraph" w:styleId="891">
    <w:name w:val="toc 7"/>
    <w:basedOn w:val="897"/>
    <w:next w:val="897"/>
    <w:uiPriority w:val="39"/>
    <w:unhideWhenUsed/>
    <w:pPr>
      <w:pBdr/>
      <w:spacing w:after="100"/>
      <w:ind w:left="1320"/>
    </w:pPr>
  </w:style>
  <w:style w:type="paragraph" w:styleId="892">
    <w:name w:val="toc 8"/>
    <w:basedOn w:val="897"/>
    <w:next w:val="897"/>
    <w:uiPriority w:val="39"/>
    <w:unhideWhenUsed/>
    <w:pPr>
      <w:pBdr/>
      <w:spacing w:after="100"/>
      <w:ind w:left="1540"/>
    </w:pPr>
  </w:style>
  <w:style w:type="paragraph" w:styleId="893">
    <w:name w:val="toc 9"/>
    <w:basedOn w:val="897"/>
    <w:next w:val="897"/>
    <w:uiPriority w:val="39"/>
    <w:unhideWhenUsed/>
    <w:pPr>
      <w:pBdr/>
      <w:spacing w:after="100"/>
      <w:ind w:left="1760"/>
    </w:pPr>
  </w:style>
  <w:style w:type="character" w:styleId="894">
    <w:name w:val="Placeholder Text"/>
    <w:basedOn w:val="844"/>
    <w:uiPriority w:val="99"/>
    <w:semiHidden/>
    <w:pPr>
      <w:pBdr/>
      <w:spacing/>
      <w:ind/>
    </w:pPr>
    <w:rPr>
      <w:color w:val="666666"/>
    </w:rPr>
  </w:style>
  <w:style w:type="paragraph" w:styleId="895">
    <w:name w:val="TOC Heading"/>
    <w:uiPriority w:val="39"/>
    <w:unhideWhenUsed/>
    <w:pPr>
      <w:pBdr/>
      <w:spacing/>
      <w:ind/>
    </w:pPr>
  </w:style>
  <w:style w:type="paragraph" w:styleId="896">
    <w:name w:val="table of figures"/>
    <w:basedOn w:val="897"/>
    <w:next w:val="897"/>
    <w:uiPriority w:val="99"/>
    <w:unhideWhenUsed/>
    <w:pPr>
      <w:pBdr/>
      <w:spacing w:after="0" w:afterAutospacing="0"/>
      <w:ind/>
    </w:pPr>
  </w:style>
  <w:style w:type="paragraph" w:styleId="897" w:default="1">
    <w:name w:val="Normal"/>
    <w:next w:val="897"/>
    <w:pPr>
      <w:pBdr/>
      <w:spacing/>
      <w:ind/>
    </w:pPr>
    <w:rPr>
      <w:rFonts w:ascii="Georgia" w:hAnsiTheme="minorHAnsi" w:eastAsiaTheme="minorHAnsi" w:cstheme="minorBidi"/>
      <w:sz w:val="21"/>
      <w:szCs w:val="22"/>
      <w:lang w:val="lt-LT" w:eastAsia="en-US" w:bidi="ar-SA"/>
    </w:rPr>
  </w:style>
  <w:style w:type="character" w:styleId="898" w:customStyle="1">
    <w:name w:val="Verbatim Char"/>
    <w:pPr>
      <w:pBdr/>
      <w:spacing/>
      <w:ind/>
    </w:pPr>
    <w:rPr>
      <w:rFonts w:ascii="Consolas" w:hAnsi="Consolas"/>
      <w:sz w:val="22"/>
    </w:rPr>
  </w:style>
  <w:style w:type="table" w:styleId="8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60" w:type="dxa"/>
        <w:top w:w="80" w:type="dxa"/>
        <w:right w:w="160" w:type="dxa"/>
        <w:bottom w:w="8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Normal Grid"/>
    <w:basedOn w:val="899"/>
    <w:uiPriority w:val="39"/>
    <w:pPr>
      <w:pBdr/>
      <w:spacing w:after="0" w:line="240" w:lineRule="auto"/>
      <w:ind/>
    </w:pPr>
    <w:tblPr>
      <w:tblInd w:w="0" w:type="dxa"/>
      <w:tblCellMar>
        <w:left w:w="160" w:type="dxa"/>
        <w:top w:w="80" w:type="dxa"/>
        <w:right w:w="160" w:type="dxa"/>
        <w:bottom w:w="8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://whatismyip.com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revision>4</cp:revision>
  <dcterms:created xsi:type="dcterms:W3CDTF">2026-08-25T10:41:44Z</dcterms:created>
  <dcterms:modified xsi:type="dcterms:W3CDTF">2026-08-29T17:51:10Z</dcterms:modified>
</cp:coreProperties>
</file>