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44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 descr="Logotipo de Cazapiezas Sto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/>
          <w:color w:val="F59E0B"/>
          <w:sz w:val="20"/>
        </w:rPr>
        <w:t>GUÍA OPERATIVA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60"/>
        </w:rPr>
        <w:t>Manual de usuario</w:t>
      </w:r>
    </w:p>
    <w:p>
      <w:pPr>
        <w:spacing w:after="480"/>
        <w:jc w:val="center"/>
      </w:pPr>
      <w:r>
        <w:rPr>
          <w:rFonts w:ascii="Calibri" w:hAnsi="Calibri"/>
          <w:b/>
          <w:color w:val="2E74B5"/>
          <w:sz w:val="36"/>
        </w:rPr>
        <w:t>Almacén Desguace</w:t>
      </w:r>
    </w:p>
    <w:p>
      <w:pPr>
        <w:spacing w:after="1600"/>
        <w:jc w:val="center"/>
      </w:pPr>
      <w:r>
        <w:rPr>
          <w:rFonts w:ascii="Calibri" w:hAnsi="Calibri"/>
          <w:color w:val="667085"/>
          <w:sz w:val="24"/>
        </w:rPr>
        <w:t>Registro, consulta, fotografías, venta y organización física de piezas</w:t>
      </w:r>
    </w:p>
    <w:p>
      <w:pPr>
        <w:jc w:val="center"/>
      </w:pPr>
      <w:r>
        <w:rPr>
          <w:rFonts w:ascii="Calibri" w:hAnsi="Calibri"/>
          <w:b/>
          <w:color w:val="667085"/>
          <w:sz w:val="20"/>
        </w:rPr>
        <w:t>Versión 1.0  |  20/07/2026</w:t>
      </w:r>
    </w:p>
    <w:p>
      <w:pPr>
        <w:jc w:val="center"/>
      </w:pPr>
      <w:r>
        <w:rPr>
          <w:rFonts w:ascii="Calibri" w:hAnsi="Calibri"/>
          <w:i/>
          <w:color w:val="667085"/>
          <w:sz w:val="19"/>
        </w:rPr>
        <w:t>Dirigido al personal de almacén, identificación, fotografía y venta</w:t>
      </w:r>
    </w:p>
    <w:p>
      <w:r>
        <w:br w:type="page"/>
      </w:r>
    </w:p>
    <w:p>
      <w:pPr>
        <w:pStyle w:val="Heading1"/>
      </w:pPr>
      <w:r>
        <w:t>Cómo utilizar este manual</w:t>
      </w:r>
    </w:p>
    <w:p>
      <w:r>
        <w:t>Este documento explica el recorrido completo de una pieza: desde que entra en el almacén hasta que se publica, reserva, vende, envía o retira. Las capturas son ejemplos reales; el número de piezas y sus datos pueden cambiar.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F"/>
            <w:tcBorders>
              <w:start w:val="single" w:sz="18" w:color="237A45"/>
            </w:tcBorders>
          </w:tcPr>
          <w:p>
            <w:pPr>
              <w:pStyle w:val="Tip"/>
              <w:keepNext w:val="0"/>
              <w:keepLines/>
            </w:pPr>
            <w:r>
              <w:rPr>
                <w:rFonts w:ascii="Calibri" w:hAnsi="Calibri"/>
                <w:b/>
                <w:color w:val="237A45"/>
                <w:sz w:val="21"/>
              </w:rPr>
              <w:t xml:space="preserve">Inicio rápido: </w:t>
            </w:r>
            <w:r>
              <w:rPr>
                <w:rFonts w:ascii="Calibri" w:hAnsi="Calibri"/>
                <w:color w:val="20252B"/>
                <w:sz w:val="21"/>
              </w:rPr>
              <w:t>Para registrar una pieza nueva: pulsa Nueva pieza, completa al menos la identificación básica, añade fotografías, elige una ubicación y pulsa Guardar pieza.</w:t>
            </w:r>
          </w:p>
        </w:tc>
      </w:tr>
    </w:tbl>
    <w:p>
      <w:pPr>
        <w:spacing w:after="40"/>
      </w:pPr>
    </w:p>
    <w:p>
      <w:pPr>
        <w:pStyle w:val="Heading2"/>
      </w:pPr>
      <w:r>
        <w:t>Contenido</w:t>
      </w:r>
    </w:p>
    <w:p>
      <w:pPr>
        <w:numPr>
          <w:ilvl w:val="0"/>
          <w:numId w:val="12"/>
        </w:numPr>
        <w:spacing w:after="80" w:line="300" w:lineRule="auto"/>
      </w:pPr>
      <w:r>
        <w:t>Acceso y pantalla principal</w:t>
      </w:r>
    </w:p>
    <w:p>
      <w:pPr>
        <w:numPr>
          <w:ilvl w:val="0"/>
          <w:numId w:val="12"/>
        </w:numPr>
        <w:spacing w:after="80" w:line="300" w:lineRule="auto"/>
      </w:pPr>
      <w:r>
        <w:t>Búsqueda, filtros, escáner y paginación</w:t>
      </w:r>
    </w:p>
    <w:p>
      <w:pPr>
        <w:numPr>
          <w:ilvl w:val="0"/>
          <w:numId w:val="12"/>
        </w:numPr>
        <w:spacing w:after="80" w:line="300" w:lineRule="auto"/>
      </w:pPr>
      <w:r>
        <w:t>Registro y modificación de piezas</w:t>
      </w:r>
    </w:p>
    <w:p>
      <w:pPr>
        <w:numPr>
          <w:ilvl w:val="0"/>
          <w:numId w:val="12"/>
        </w:numPr>
        <w:spacing w:after="80" w:line="300" w:lineRule="auto"/>
      </w:pPr>
      <w:r>
        <w:t>Ficha, fotografías y etiqueta QR</w:t>
      </w:r>
    </w:p>
    <w:p>
      <w:pPr>
        <w:numPr>
          <w:ilvl w:val="0"/>
          <w:numId w:val="12"/>
        </w:numPr>
        <w:spacing w:after="80" w:line="300" w:lineRule="auto"/>
      </w:pPr>
      <w:r>
        <w:t>Ubicación física y sugerencias</w:t>
      </w:r>
    </w:p>
    <w:p>
      <w:pPr>
        <w:numPr>
          <w:ilvl w:val="0"/>
          <w:numId w:val="12"/>
        </w:numPr>
        <w:spacing w:after="80" w:line="300" w:lineRule="auto"/>
      </w:pPr>
      <w:r>
        <w:t>Acciones rápidas y cambios masivos</w:t>
      </w:r>
    </w:p>
    <w:p>
      <w:pPr>
        <w:numPr>
          <w:ilvl w:val="0"/>
          <w:numId w:val="12"/>
        </w:numPr>
        <w:spacing w:after="80" w:line="300" w:lineRule="auto"/>
      </w:pPr>
      <w:r>
        <w:t>Creación y modificación de estanterías por niveles</w:t>
      </w:r>
    </w:p>
    <w:p>
      <w:pPr>
        <w:numPr>
          <w:ilvl w:val="0"/>
          <w:numId w:val="12"/>
        </w:numPr>
        <w:spacing w:after="80" w:line="300" w:lineRule="auto"/>
      </w:pPr>
      <w:r>
        <w:t>Flujos recomendados, errores y buenas prácticas</w:t>
      </w:r>
    </w:p>
    <w:p>
      <w:pPr>
        <w:pStyle w:val="Heading2"/>
      </w:pPr>
      <w:r>
        <w:t>Conceptos básicos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Concepto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Qué significa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Código interno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Identificador automático con formato CZP-DESGUACE-000000.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Estado de la pieza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Condición física o de revisión de la pieza.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Estado del proceso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Fase de trabajo: identificar, comprobar, fotografiar, publicar, vender, enviar, etc.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Ubicación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Hueco físico con formato DESGUACE-E01-N01-C01.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Publicado online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Indica si la pieza se muestra en el canal de venta online.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1. Acceso y pantalla principal</w:t>
      </w:r>
    </w:p>
    <w:p>
      <w:pPr>
        <w:spacing w:after="200"/>
      </w:pPr>
      <w:r>
        <w:t>La pantalla principal reúne el inventario, los filtros y las acciones de cada pieza.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0553"/>
            <wp:docPr id="2" name="Picture 2" descr="Listado del almacén con búsqueda, filtros y tabla de piez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ado-princip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Figura 1. Listado principal del Almacén Desguace.</w:t>
      </w:r>
    </w:p>
    <w:p>
      <w:pPr>
        <w:pStyle w:val="Heading2"/>
      </w:pPr>
      <w:r>
        <w:t>Qué información muestra cada fila</w:t>
      </w:r>
    </w:p>
    <w:p>
      <w:pPr>
        <w:numPr>
          <w:ilvl w:val="0"/>
          <w:numId w:val="13"/>
        </w:numPr>
        <w:spacing w:after="80" w:line="300" w:lineRule="auto"/>
      </w:pPr>
      <w:r>
        <w:rPr>
          <w:b/>
        </w:rPr>
        <w:t xml:space="preserve">Fotos. </w:t>
      </w:r>
      <w:r>
        <w:t>Miniatura y acceso directo a la galería.</w:t>
      </w:r>
    </w:p>
    <w:p>
      <w:pPr>
        <w:numPr>
          <w:ilvl w:val="0"/>
          <w:numId w:val="13"/>
        </w:numPr>
        <w:spacing w:after="80" w:line="300" w:lineRule="auto"/>
      </w:pPr>
      <w:r>
        <w:rPr>
          <w:b/>
        </w:rPr>
        <w:t xml:space="preserve">Referencia. </w:t>
      </w:r>
      <w:r>
        <w:t>Referencia principal y nombre de la pieza.</w:t>
      </w:r>
    </w:p>
    <w:p>
      <w:pPr>
        <w:numPr>
          <w:ilvl w:val="0"/>
          <w:numId w:val="13"/>
        </w:numPr>
        <w:spacing w:after="80" w:line="300" w:lineRule="auto"/>
      </w:pPr>
      <w:r>
        <w:rPr>
          <w:b/>
        </w:rPr>
        <w:t xml:space="preserve">Coche. </w:t>
      </w:r>
      <w:r>
        <w:t>Datos del vehículo compatible al desplegar Ver coche.</w:t>
      </w:r>
    </w:p>
    <w:p>
      <w:pPr>
        <w:numPr>
          <w:ilvl w:val="0"/>
          <w:numId w:val="13"/>
        </w:numPr>
        <w:spacing w:after="80" w:line="300" w:lineRule="auto"/>
      </w:pPr>
      <w:r>
        <w:rPr>
          <w:b/>
        </w:rPr>
        <w:t xml:space="preserve">Precio y fecha. </w:t>
      </w:r>
      <w:r>
        <w:t>Precio de venta y fecha de entrada.</w:t>
      </w:r>
    </w:p>
    <w:p>
      <w:pPr>
        <w:numPr>
          <w:ilvl w:val="0"/>
          <w:numId w:val="13"/>
        </w:numPr>
        <w:spacing w:after="80" w:line="300" w:lineRule="auto"/>
      </w:pPr>
      <w:r>
        <w:rPr>
          <w:b/>
        </w:rPr>
        <w:t xml:space="preserve">Ubicación. </w:t>
      </w:r>
      <w:r>
        <w:t>Hueco exacto o aviso Sin ubicar.</w:t>
      </w:r>
    </w:p>
    <w:p>
      <w:pPr>
        <w:numPr>
          <w:ilvl w:val="0"/>
          <w:numId w:val="13"/>
        </w:numPr>
        <w:spacing w:after="80" w:line="300" w:lineRule="auto"/>
      </w:pPr>
      <w:r>
        <w:rPr>
          <w:b/>
        </w:rPr>
        <w:t xml:space="preserve">Estados. </w:t>
      </w:r>
      <w:r>
        <w:t>Condición de la pieza y fase del proceso.</w:t>
      </w:r>
    </w:p>
    <w:p>
      <w:pPr>
        <w:numPr>
          <w:ilvl w:val="0"/>
          <w:numId w:val="13"/>
        </w:numPr>
        <w:spacing w:after="80" w:line="300" w:lineRule="auto"/>
      </w:pPr>
      <w:r>
        <w:rPr>
          <w:b/>
        </w:rPr>
        <w:t xml:space="preserve">Online. </w:t>
      </w:r>
      <w:r>
        <w:t>Confirma si la pieza está publicada online.</w:t>
      </w:r>
    </w:p>
    <w:p>
      <w:pPr>
        <w:numPr>
          <w:ilvl w:val="0"/>
          <w:numId w:val="13"/>
        </w:numPr>
        <w:spacing w:after="80" w:line="300" w:lineRule="auto"/>
      </w:pPr>
      <w:r>
        <w:rPr>
          <w:b/>
        </w:rPr>
        <w:t xml:space="preserve">Acciones. </w:t>
      </w:r>
      <w:r>
        <w:t>Abre todas las operaciones disponibles para esa pieza.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D"/>
            <w:tcBorders>
              <w:start w:val="single" w:sz="18" w:color="9A6700"/>
            </w:tcBorders>
          </w:tcPr>
          <w:p>
            <w:pPr>
              <w:pStyle w:val="Tip"/>
              <w:keepNext w:val="0"/>
              <w:keepLines/>
            </w:pPr>
            <w:r>
              <w:rPr>
                <w:rFonts w:ascii="Calibri" w:hAnsi="Calibri"/>
                <w:b/>
                <w:color w:val="9A6700"/>
                <w:sz w:val="21"/>
              </w:rPr>
              <w:t xml:space="preserve">Consejo: </w:t>
            </w:r>
            <w:r>
              <w:rPr>
                <w:rFonts w:ascii="Calibri" w:hAnsi="Calibri"/>
                <w:color w:val="20252B"/>
                <w:sz w:val="21"/>
              </w:rPr>
              <w:t>Antes de crear una pieza, busca por referencia principal u OEM para evitar duplicados.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Buscar, filtrar y localizar piezas</w:t>
      </w:r>
    </w:p>
    <w:p>
      <w:pPr>
        <w:pStyle w:val="Heading2"/>
      </w:pPr>
      <w:r>
        <w:t>Búsqueda libre</w:t>
      </w:r>
    </w:p>
    <w:p>
      <w:r>
        <w:t>Escribe código interno, nombre, referencia, marca, modelo o motor. Puedes usar varias palabras; todas deberán aparecer en alguno de los campos buscables.</w:t>
      </w:r>
    </w:p>
    <w:p>
      <w:pPr>
        <w:pStyle w:val="Heading2"/>
      </w:pPr>
      <w:r>
        <w:t>Filtros disponibles</w:t>
      </w:r>
    </w:p>
    <w:p>
      <w:pPr>
        <w:numPr>
          <w:ilvl w:val="0"/>
          <w:numId w:val="14"/>
        </w:numPr>
        <w:spacing w:after="80" w:line="300" w:lineRule="auto"/>
      </w:pPr>
      <w:r>
        <w:t>Categoría de la pieza.</w:t>
      </w:r>
    </w:p>
    <w:p>
      <w:pPr>
        <w:numPr>
          <w:ilvl w:val="0"/>
          <w:numId w:val="14"/>
        </w:numPr>
        <w:spacing w:after="80" w:line="300" w:lineRule="auto"/>
      </w:pPr>
      <w:r>
        <w:t>Estado físico o de revisión.</w:t>
      </w:r>
    </w:p>
    <w:p>
      <w:pPr>
        <w:numPr>
          <w:ilvl w:val="0"/>
          <w:numId w:val="14"/>
        </w:numPr>
        <w:spacing w:after="80" w:line="300" w:lineRule="auto"/>
      </w:pPr>
      <w:r>
        <w:t>Estado del proceso.</w:t>
      </w:r>
    </w:p>
    <w:p>
      <w:pPr>
        <w:numPr>
          <w:ilvl w:val="0"/>
          <w:numId w:val="14"/>
        </w:numPr>
        <w:spacing w:after="80" w:line="300" w:lineRule="auto"/>
      </w:pPr>
      <w:r>
        <w:t>Publicadas online o no publicadas.</w:t>
      </w:r>
    </w:p>
    <w:p>
      <w:pPr>
        <w:numPr>
          <w:ilvl w:val="0"/>
          <w:numId w:val="14"/>
        </w:numPr>
        <w:spacing w:after="80" w:line="300" w:lineRule="auto"/>
      </w:pPr>
      <w:r>
        <w:t>Ubicación completa, estantería o fragmento, por ejemplo E01.</w:t>
      </w:r>
    </w:p>
    <w:p>
      <w:pPr>
        <w:numPr>
          <w:ilvl w:val="0"/>
          <w:numId w:val="14"/>
        </w:numPr>
        <w:spacing w:after="80" w:line="300" w:lineRule="auto"/>
      </w:pPr>
      <w:r>
        <w:t>Orden por fecha, nombre, referencia, ubicación o precio.</w:t>
      </w:r>
    </w:p>
    <w:p>
      <w:pPr>
        <w:pStyle w:val="Heading2"/>
      </w:pPr>
      <w:r>
        <w:t>Paginación</w:t>
      </w:r>
    </w:p>
    <w:p>
      <w:r>
        <w:t>Puedes mostrar 10, 25, 50 o 100 filas por página. Utiliza los controles inferiores para avanzar, retroceder o saltar directamente a una página.</w:t>
      </w:r>
    </w:p>
    <w:p>
      <w:pPr>
        <w:pStyle w:val="Heading2"/>
      </w:pPr>
      <w:r>
        <w:t>Buscar con cámara o lector</w:t>
      </w:r>
    </w:p>
    <w:p>
      <w:pPr>
        <w:numPr>
          <w:ilvl w:val="0"/>
          <w:numId w:val="15"/>
        </w:numPr>
        <w:spacing w:after="80" w:line="300" w:lineRule="auto"/>
      </w:pPr>
      <w:r>
        <w:t>Pulsa Escanear.</w:t>
      </w:r>
    </w:p>
    <w:p>
      <w:pPr>
        <w:numPr>
          <w:ilvl w:val="0"/>
          <w:numId w:val="15"/>
        </w:numPr>
        <w:spacing w:after="80" w:line="300" w:lineRule="auto"/>
      </w:pPr>
      <w:r>
        <w:t>En un móvil compatible, pulsa Activar cámara y centra el código en el recuadro.</w:t>
      </w:r>
    </w:p>
    <w:p>
      <w:pPr>
        <w:numPr>
          <w:ilvl w:val="0"/>
          <w:numId w:val="15"/>
        </w:numPr>
        <w:spacing w:after="80" w:line="300" w:lineRule="auto"/>
      </w:pPr>
      <w:r>
        <w:t>También puedes usar un lector USB/Bluetooth o escribir la referencia manualmente.</w:t>
      </w:r>
    </w:p>
    <w:p>
      <w:pPr>
        <w:numPr>
          <w:ilvl w:val="0"/>
          <w:numId w:val="15"/>
        </w:numPr>
        <w:spacing w:after="80" w:line="300" w:lineRule="auto"/>
      </w:pPr>
      <w:r>
        <w:t>Al detectar el código, el sistema lo coloca en la búsqueda del inventario.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3" name="Picture 3" descr="Cuadro para escanear una referencia con cámara o lector físic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scanear-refer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Figura 2. Búsqueda mediante cámara, lector o escritura manual.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D"/>
            <w:tcBorders>
              <w:start w:val="single" w:sz="18" w:color="9A6700"/>
            </w:tcBorders>
          </w:tcPr>
          <w:p>
            <w:pPr>
              <w:pStyle w:val="Tip"/>
              <w:keepNext w:val="0"/>
              <w:keepLines/>
            </w:pPr>
            <w:r>
              <w:rPr>
                <w:rFonts w:ascii="Calibri" w:hAnsi="Calibri"/>
                <w:b/>
                <w:color w:val="9A6700"/>
                <w:sz w:val="21"/>
              </w:rPr>
              <w:t xml:space="preserve">Si la cámara no funciona: </w:t>
            </w:r>
            <w:r>
              <w:rPr>
                <w:rFonts w:ascii="Calibri" w:hAnsi="Calibri"/>
                <w:color w:val="20252B"/>
                <w:sz w:val="21"/>
              </w:rPr>
              <w:t>Utiliza un lector USB/Bluetooth o escribe la referencia. No es necesario conceder permiso de cámara para esas alternativas.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3. Registrar una pieza nueva</w:t>
      </w:r>
    </w:p>
    <w:p>
      <w:pPr>
        <w:spacing w:after="200"/>
      </w:pPr>
      <w:r>
        <w:t>El formulario admite borradores incompletos y comprueba automáticamente los requisitos cuando se intenta publicar.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4" name="Picture 4" descr="Formulario para crear una pieza con datos, identificación y vehículo compat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ueva-piez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Figura 3. Formulario de alta de una pieza.</w:t>
      </w:r>
    </w:p>
    <w:p>
      <w:pPr>
        <w:pStyle w:val="Heading2"/>
      </w:pPr>
      <w:r>
        <w:t>Paso 1. Datos e identificación</w:t>
      </w:r>
    </w:p>
    <w:p>
      <w:pPr>
        <w:numPr>
          <w:ilvl w:val="0"/>
          <w:numId w:val="16"/>
        </w:numPr>
        <w:spacing w:after="80" w:line="300" w:lineRule="auto"/>
      </w:pPr>
      <w:r>
        <w:rPr>
          <w:b/>
        </w:rPr>
        <w:t xml:space="preserve">Nombre de la pieza. </w:t>
      </w:r>
      <w:r>
        <w:t>Nombre reconocible, por ejemplo FARO DERECHO.</w:t>
      </w:r>
    </w:p>
    <w:p>
      <w:pPr>
        <w:numPr>
          <w:ilvl w:val="0"/>
          <w:numId w:val="16"/>
        </w:numPr>
        <w:spacing w:after="80" w:line="300" w:lineRule="auto"/>
      </w:pPr>
      <w:r>
        <w:rPr>
          <w:b/>
        </w:rPr>
        <w:t xml:space="preserve">Descripción. </w:t>
      </w:r>
      <w:r>
        <w:t>Estado, lado, color, desperfectos y observaciones útiles.</w:t>
      </w:r>
    </w:p>
    <w:p>
      <w:pPr>
        <w:numPr>
          <w:ilvl w:val="0"/>
          <w:numId w:val="16"/>
        </w:numPr>
        <w:spacing w:after="80" w:line="300" w:lineRule="auto"/>
      </w:pPr>
      <w:r>
        <w:rPr>
          <w:b/>
        </w:rPr>
        <w:t xml:space="preserve">Categoría. </w:t>
      </w:r>
      <w:r>
        <w:t>Familia general que facilita filtros y reglas de estantería.</w:t>
      </w:r>
    </w:p>
    <w:p>
      <w:pPr>
        <w:numPr>
          <w:ilvl w:val="0"/>
          <w:numId w:val="16"/>
        </w:numPr>
        <w:spacing w:after="80" w:line="300" w:lineRule="auto"/>
      </w:pPr>
      <w:r>
        <w:rPr>
          <w:b/>
        </w:rPr>
        <w:t xml:space="preserve">Marca de la pieza. </w:t>
      </w:r>
      <w:r>
        <w:t>Fabricante del componente, si se conoce.</w:t>
      </w:r>
    </w:p>
    <w:p>
      <w:pPr>
        <w:numPr>
          <w:ilvl w:val="0"/>
          <w:numId w:val="16"/>
        </w:numPr>
        <w:spacing w:after="80" w:line="300" w:lineRule="auto"/>
      </w:pPr>
      <w:r>
        <w:rPr>
          <w:b/>
        </w:rPr>
        <w:t xml:space="preserve">Referencias. </w:t>
      </w:r>
      <w:r>
        <w:t>Principal, OEM y equivalentes. Es recomendable completar al menos una referencia.</w:t>
      </w:r>
    </w:p>
    <w:p>
      <w:pPr>
        <w:numPr>
          <w:ilvl w:val="0"/>
          <w:numId w:val="16"/>
        </w:numPr>
        <w:spacing w:after="80" w:line="300" w:lineRule="auto"/>
      </w:pPr>
      <w:r>
        <w:rPr>
          <w:b/>
        </w:rPr>
        <w:t xml:space="preserve">Vehículo. </w:t>
      </w:r>
      <w:r>
        <w:t>Marca, modelo, motorización, código motor y años compatibles.</w:t>
      </w:r>
    </w:p>
    <w:p>
      <w:pPr>
        <w:numPr>
          <w:ilvl w:val="0"/>
          <w:numId w:val="16"/>
        </w:numPr>
        <w:spacing w:after="80" w:line="300" w:lineRule="auto"/>
      </w:pPr>
      <w:r>
        <w:rPr>
          <w:b/>
        </w:rPr>
        <w:t xml:space="preserve">Procedencia. </w:t>
      </w:r>
      <w:r>
        <w:t>Origen de la pieza o información de trazabilidad.</w:t>
      </w:r>
    </w:p>
    <w:p>
      <w:pPr>
        <w:pStyle w:val="Heading2"/>
      </w:pPr>
      <w:r>
        <w:t>Paso 2. Estado, cantidad y precios</w:t>
      </w:r>
    </w:p>
    <w:p>
      <w:pPr>
        <w:numPr>
          <w:ilvl w:val="0"/>
          <w:numId w:val="17"/>
        </w:numPr>
        <w:spacing w:after="80" w:line="300" w:lineRule="auto"/>
      </w:pPr>
      <w:r>
        <w:t>Elige el estado real de la pieza.</w:t>
      </w:r>
    </w:p>
    <w:p>
      <w:pPr>
        <w:numPr>
          <w:ilvl w:val="0"/>
          <w:numId w:val="17"/>
        </w:numPr>
        <w:spacing w:after="80" w:line="300" w:lineRule="auto"/>
      </w:pPr>
      <w:r>
        <w:t>Selecciona la fase de trabajo en Estado del proceso.</w:t>
      </w:r>
    </w:p>
    <w:p>
      <w:pPr>
        <w:numPr>
          <w:ilvl w:val="0"/>
          <w:numId w:val="17"/>
        </w:numPr>
        <w:spacing w:after="80" w:line="300" w:lineRule="auto"/>
      </w:pPr>
      <w:r>
        <w:t>Indica la cantidad disponible y los precios sin valores negativos.</w:t>
      </w:r>
    </w:p>
    <w:p>
      <w:pPr>
        <w:numPr>
          <w:ilvl w:val="0"/>
          <w:numId w:val="17"/>
        </w:numPr>
        <w:spacing w:after="80" w:line="300" w:lineRule="auto"/>
      </w:pPr>
      <w:r>
        <w:t>Comprueba que Año hasta no sea anterior a Año desde.</w:t>
      </w:r>
    </w:p>
    <w:p>
      <w:pPr>
        <w:numPr>
          <w:ilvl w:val="0"/>
          <w:numId w:val="17"/>
        </w:numPr>
        <w:spacing w:after="80" w:line="300" w:lineRule="auto"/>
      </w:pPr>
      <w:r>
        <w:t>Marca Publicada online solo cuando la ficha esté preparada para venta.</w:t>
      </w:r>
    </w:p>
    <w:p>
      <w:pPr>
        <w:pStyle w:val="Heading2"/>
      </w:pPr>
      <w:r>
        <w:t>Paso 3. Ubicación</w:t>
      </w:r>
    </w:p>
    <w:p>
      <w:r>
        <w:t>Puedes aceptar la recomendación, elegir un hueco libre, escribir una ubicación exacta o dejarla vacía para ubicar la pieza después.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start w:val="single" w:sz="18" w:color="2E74B5"/>
            </w:tcBorders>
          </w:tcPr>
          <w:p>
            <w:pPr>
              <w:pStyle w:val="Tip"/>
              <w:keepNext w:val="0"/>
              <w:keepLines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Formato: </w:t>
            </w:r>
            <w:r>
              <w:rPr>
                <w:rFonts w:ascii="Calibri" w:hAnsi="Calibri"/>
                <w:color w:val="20252B"/>
                <w:sz w:val="21"/>
              </w:rPr>
              <w:t>La ubicación completa se forma así: DESGUACE-E01-N03-C05 = estantería E01, nivel 03, hueco 05.</w:t>
            </w:r>
          </w:p>
        </w:tc>
      </w:tr>
    </w:tbl>
    <w:p>
      <w:pPr>
        <w:spacing w:after="40"/>
      </w:pPr>
    </w:p>
    <w:p>
      <w:pPr>
        <w:pStyle w:val="Heading2"/>
      </w:pPr>
      <w:r>
        <w:t>Paso 4. Fotografías</w:t>
      </w:r>
    </w:p>
    <w:p>
      <w:r>
        <w:t>Pulsa Añadir fotos y selecciona una o varias imágenes. Solo se admiten archivos de imagen de hasta 10 MB cada uno. Puedes quitar una previsualización antes de guardar.</w:t>
      </w:r>
    </w:p>
    <w:p>
      <w:pPr>
        <w:pStyle w:val="Heading2"/>
      </w:pPr>
      <w:r>
        <w:t>Guardar como borrador o publicar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Opción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Comportamiento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Borrador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Puedes guardar campos incompletos con un estado de proceso anterior a Lista para publicar.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Lista para publicar / Publicada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Se exigen nombre, referencia, estado, precio de venta, ubicación, cantidad y al menos una fotografía.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  <w:tcBorders>
              <w:start w:val="single" w:sz="18" w:color="9B1C1C"/>
            </w:tcBorders>
          </w:tcPr>
          <w:p>
            <w:pPr>
              <w:pStyle w:val="Tip"/>
              <w:keepNext w:val="0"/>
              <w:keepLines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Importante: </w:t>
            </w:r>
            <w:r>
              <w:rPr>
                <w:rFonts w:ascii="Calibri" w:hAnsi="Calibri"/>
                <w:color w:val="20252B"/>
                <w:sz w:val="21"/>
              </w:rPr>
              <w:t>Si falta algún requisito para publicar, el sistema muestra un aviso con la lista exacta de datos pendientes. Completa esos datos y vuelve a guardar.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Consultar y modificar una ficha</w:t>
      </w:r>
    </w:p>
    <w:p>
      <w:pPr>
        <w:pStyle w:val="Heading2"/>
      </w:pPr>
      <w:r>
        <w:t>Contenido de la ficha</w:t>
      </w:r>
    </w:p>
    <w:p>
      <w:pPr>
        <w:numPr>
          <w:ilvl w:val="0"/>
          <w:numId w:val="18"/>
        </w:numPr>
        <w:spacing w:after="80" w:line="300" w:lineRule="auto"/>
      </w:pPr>
      <w:r>
        <w:t>Datos básicos, categoría, marca, procedencia y fecha de entrada.</w:t>
      </w:r>
    </w:p>
    <w:p>
      <w:pPr>
        <w:numPr>
          <w:ilvl w:val="0"/>
          <w:numId w:val="18"/>
        </w:numPr>
        <w:spacing w:after="80" w:line="300" w:lineRule="auto"/>
      </w:pPr>
      <w:r>
        <w:t>Referencias principal, OEM y equivalentes.</w:t>
      </w:r>
    </w:p>
    <w:p>
      <w:pPr>
        <w:numPr>
          <w:ilvl w:val="0"/>
          <w:numId w:val="18"/>
        </w:numPr>
        <w:spacing w:after="80" w:line="300" w:lineRule="auto"/>
      </w:pPr>
      <w:r>
        <w:t>Vehículo compatible, motorización, código motor y años.</w:t>
      </w:r>
    </w:p>
    <w:p>
      <w:pPr>
        <w:numPr>
          <w:ilvl w:val="0"/>
          <w:numId w:val="18"/>
        </w:numPr>
        <w:spacing w:after="80" w:line="300" w:lineRule="auto"/>
      </w:pPr>
      <w:r>
        <w:t>Estado, cantidad, precios, proceso y publicación online.</w:t>
      </w:r>
    </w:p>
    <w:p>
      <w:pPr>
        <w:numPr>
          <w:ilvl w:val="0"/>
          <w:numId w:val="18"/>
        </w:numPr>
        <w:spacing w:after="80" w:line="300" w:lineRule="auto"/>
      </w:pPr>
      <w:r>
        <w:t>Ubicación física exacta.</w:t>
      </w:r>
    </w:p>
    <w:p>
      <w:pPr>
        <w:numPr>
          <w:ilvl w:val="0"/>
          <w:numId w:val="18"/>
        </w:numPr>
        <w:spacing w:after="80" w:line="300" w:lineRule="auto"/>
      </w:pPr>
      <w:r>
        <w:t>Galería completa de fotografías.</w:t>
      </w:r>
    </w:p>
    <w:p>
      <w:pPr>
        <w:pStyle w:val="Heading2"/>
      </w:pPr>
      <w:r>
        <w:t>Editar</w:t>
      </w:r>
    </w:p>
    <w:p>
      <w:r>
        <w:t>Pulsa Editar en la ficha o en el panel de acciones. El formulario es el mismo que el alta, pero aparece cargado con los datos existentes. Revisa y pulsa Guardar pieza.</w:t>
      </w:r>
    </w:p>
    <w:p>
      <w:pPr>
        <w:pStyle w:val="Heading2"/>
      </w:pPr>
      <w:r>
        <w:t>Imprimir etiqueta QR</w:t>
      </w:r>
    </w:p>
    <w:p>
      <w:pPr>
        <w:numPr>
          <w:ilvl w:val="0"/>
          <w:numId w:val="19"/>
        </w:numPr>
        <w:spacing w:after="80" w:line="300" w:lineRule="auto"/>
      </w:pPr>
      <w:r>
        <w:t>Pulsa Imprimir etiqueta QR.</w:t>
      </w:r>
    </w:p>
    <w:p>
      <w:pPr>
        <w:numPr>
          <w:ilvl w:val="0"/>
          <w:numId w:val="19"/>
        </w:numPr>
        <w:spacing w:after="80" w:line="300" w:lineRule="auto"/>
      </w:pPr>
      <w:r>
        <w:t>El navegador abre la vista de impresión con código interno, nombre, referencia, ubicación, estado y QR.</w:t>
      </w:r>
    </w:p>
    <w:p>
      <w:pPr>
        <w:numPr>
          <w:ilvl w:val="0"/>
          <w:numId w:val="19"/>
        </w:numPr>
        <w:spacing w:after="80" w:line="300" w:lineRule="auto"/>
      </w:pPr>
      <w:r>
        <w:t>El QR lleva directamente a la ficha de la pieza.</w:t>
      </w:r>
    </w:p>
    <w:p>
      <w:pPr>
        <w:numPr>
          <w:ilvl w:val="0"/>
          <w:numId w:val="19"/>
        </w:numPr>
        <w:spacing w:after="80" w:line="300" w:lineRule="auto"/>
      </w:pPr>
      <w:r>
        <w:t>Si no se abre la impresión, permite las ventanas emergentes para esta aplicación.</w:t>
      </w:r>
    </w:p>
    <w:p>
      <w:pPr>
        <w:pStyle w:val="Heading1"/>
        <w:pageBreakBefore/>
      </w:pPr>
      <w:r>
        <w:t>5. Gestionar fotografías</w:t>
      </w:r>
    </w:p>
    <w:p>
      <w:r>
        <w:t>La fotografía principal es la que se utiliza como imagen destacada. En la galería se reconoce por la estrella y el borde resaltado.</w:t>
      </w:r>
    </w:p>
    <w:p>
      <w:pPr>
        <w:numPr>
          <w:ilvl w:val="0"/>
          <w:numId w:val="20"/>
        </w:numPr>
        <w:spacing w:after="80" w:line="300" w:lineRule="auto"/>
      </w:pPr>
      <w:r>
        <w:rPr>
          <w:b/>
        </w:rPr>
        <w:t xml:space="preserve">Subir fotos. </w:t>
      </w:r>
      <w:r>
        <w:t>Permite añadir varias imágenes desde la ficha o mientras se crea la pieza.</w:t>
      </w:r>
    </w:p>
    <w:p>
      <w:pPr>
        <w:numPr>
          <w:ilvl w:val="0"/>
          <w:numId w:val="20"/>
        </w:numPr>
        <w:spacing w:after="80" w:line="300" w:lineRule="auto"/>
      </w:pPr>
      <w:r>
        <w:rPr>
          <w:b/>
        </w:rPr>
        <w:t xml:space="preserve">Hacer principal. </w:t>
      </w:r>
      <w:r>
        <w:t>Pulsa la estrella de la imagen que deseas destacar.</w:t>
      </w:r>
    </w:p>
    <w:p>
      <w:pPr>
        <w:numPr>
          <w:ilvl w:val="0"/>
          <w:numId w:val="20"/>
        </w:numPr>
        <w:spacing w:after="80" w:line="300" w:lineRule="auto"/>
      </w:pPr>
      <w:r>
        <w:rPr>
          <w:b/>
        </w:rPr>
        <w:t xml:space="preserve">Copiar enlace público. </w:t>
      </w:r>
      <w:r>
        <w:t>Copia la dirección pública de la fotografía para usarla en otros canales.</w:t>
      </w:r>
    </w:p>
    <w:p>
      <w:pPr>
        <w:numPr>
          <w:ilvl w:val="0"/>
          <w:numId w:val="20"/>
        </w:numPr>
        <w:spacing w:after="80" w:line="300" w:lineRule="auto"/>
      </w:pPr>
      <w:r>
        <w:rPr>
          <w:b/>
        </w:rPr>
        <w:t xml:space="preserve">Eliminar. </w:t>
      </w:r>
      <w:r>
        <w:t>Pulsa la papelera y confirma. La eliminación es definitiva.</w:t>
      </w:r>
    </w:p>
    <w:p>
      <w:pPr>
        <w:numPr>
          <w:ilvl w:val="0"/>
          <w:numId w:val="20"/>
        </w:numPr>
        <w:spacing w:after="80" w:line="300" w:lineRule="auto"/>
      </w:pPr>
      <w:r>
        <w:rPr>
          <w:b/>
        </w:rPr>
        <w:t xml:space="preserve">Ver fotos. </w:t>
      </w:r>
      <w:r>
        <w:t>Desde el listado abre una galería ampliada sin abandonar el inventario.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F"/>
            <w:tcBorders>
              <w:start w:val="single" w:sz="18" w:color="237A45"/>
            </w:tcBorders>
          </w:tcPr>
          <w:p>
            <w:pPr>
              <w:pStyle w:val="Tip"/>
              <w:keepNext w:val="0"/>
              <w:keepLines/>
            </w:pPr>
            <w:r>
              <w:rPr>
                <w:rFonts w:ascii="Calibri" w:hAnsi="Calibri"/>
                <w:b/>
                <w:color w:val="237A45"/>
                <w:sz w:val="21"/>
              </w:rPr>
              <w:t xml:space="preserve">Buena práctica: </w:t>
            </w:r>
            <w:r>
              <w:rPr>
                <w:rFonts w:ascii="Calibri" w:hAnsi="Calibri"/>
                <w:color w:val="20252B"/>
                <w:sz w:val="21"/>
              </w:rPr>
              <w:t>Fotografía la referencia, el conector, la vista general y cualquier defecto. Evita imágenes oscuras o desenfocadas.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6. Ubicar físicamente una pieza</w:t>
      </w:r>
    </w:p>
    <w:p>
      <w:pPr>
        <w:spacing w:after="200"/>
      </w:pPr>
      <w:r>
        <w:t>El sistema cruza el nombre, la descripción y la categoría con las reglas de las estanterías.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0553"/>
            <wp:docPr id="5" name="Picture 5" descr="Ventana de colocación con ubicación recomendada y alternativ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bicar-piez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Figura 5. Propuesta automática de ubicación.</w:t>
      </w:r>
    </w:p>
    <w:p>
      <w:pPr>
        <w:pStyle w:val="Heading2"/>
      </w:pPr>
      <w:r>
        <w:t>Aceptar la recomendación</w:t>
      </w:r>
    </w:p>
    <w:p>
      <w:pPr>
        <w:numPr>
          <w:ilvl w:val="0"/>
          <w:numId w:val="21"/>
        </w:numPr>
        <w:spacing w:after="80" w:line="300" w:lineRule="auto"/>
      </w:pPr>
      <w:r>
        <w:t>Abre Acciones y pulsa Ubicar.</w:t>
      </w:r>
    </w:p>
    <w:p>
      <w:pPr>
        <w:numPr>
          <w:ilvl w:val="0"/>
          <w:numId w:val="21"/>
        </w:numPr>
        <w:spacing w:after="80" w:line="300" w:lineRule="auto"/>
      </w:pPr>
      <w:r>
        <w:t>Comprueba la estantería, el nivel y el hueco propuestos.</w:t>
      </w:r>
    </w:p>
    <w:p>
      <w:pPr>
        <w:numPr>
          <w:ilvl w:val="0"/>
          <w:numId w:val="21"/>
        </w:numPr>
        <w:spacing w:after="80" w:line="300" w:lineRule="auto"/>
      </w:pPr>
      <w:r>
        <w:t>Coloca físicamente la pieza en ese hueco.</w:t>
      </w:r>
    </w:p>
    <w:p>
      <w:pPr>
        <w:numPr>
          <w:ilvl w:val="0"/>
          <w:numId w:val="21"/>
        </w:numPr>
        <w:spacing w:after="80" w:line="300" w:lineRule="auto"/>
      </w:pPr>
      <w:r>
        <w:t>Pulsa Sí, colocada ahí para guardar la ubicación real.</w:t>
      </w:r>
    </w:p>
    <w:p>
      <w:pPr>
        <w:pStyle w:val="Heading2"/>
      </w:pPr>
      <w:r>
        <w:t>Usar otra ubicación</w:t>
      </w:r>
    </w:p>
    <w:p>
      <w:r>
        <w:t>Pulsa No, está en otro sitio. Puedes elegir una alternativa o escribir la ubicación completa. El sistema comprueba que la estantería exista, esté activa, tenga espacio y que el hueco no esté ocupado.</w:t>
      </w:r>
    </w:p>
    <w:p>
      <w:pPr>
        <w:pStyle w:val="Heading2"/>
      </w:pPr>
      <w:r>
        <w:t>Registrar que no se pudo colocar</w:t>
      </w:r>
    </w:p>
    <w:p>
      <w:r>
        <w:t>Pulsa No pude colocarla, explica el motivo y registra la incidencia. Esta opción sirve para estanterías llenas, piezas demasiado grandes o accesos bloqueados.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start w:val="single" w:sz="18" w:color="2E74B5"/>
            </w:tcBorders>
          </w:tcPr>
          <w:p>
            <w:pPr>
              <w:pStyle w:val="Tip"/>
              <w:keepNext w:val="0"/>
              <w:keepLines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Recalcular: </w:t>
            </w:r>
            <w:r>
              <w:rPr>
                <w:rFonts w:ascii="Calibri" w:hAnsi="Calibri"/>
                <w:color w:val="20252B"/>
                <w:sz w:val="21"/>
              </w:rPr>
              <w:t>Si alguien ha ocupado un hueco mientras la ventana estaba abierta, pulsa Recalcular para obtener una propuesta actualizada.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t>7. Acciones rápidas y cambios masivos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0553"/>
            <wp:docPr id="6" name="Picture 6" descr="Fila ampliada con acciones de consulta, edición, ubicación, publicación y ven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ciones-piez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Figura 6. Panel de acciones disponibles para una pieza.</w:t>
      </w:r>
    </w:p>
    <w:p>
      <w:pPr>
        <w:pStyle w:val="Heading2"/>
      </w:pPr>
      <w:r>
        <w:t>Acciones de una pieza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Acción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Ver ficha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Abre toda la información y la galería.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Editar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Permite corregir datos, estados, precios y ubicación.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Ubicar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Calcula una ubicación recomendada y registra el resultado.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Ver fotos / Subir fotos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Consulta la galería o añade nuevas imágenes.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Publicar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Cambia la pieza a Publicada si cumple los requisitos.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Reservar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Marca la pieza como Reservada.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Vendida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Marca la pieza como Vendida; requiere confirmación.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Enviada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Marca el proceso como Enviada.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Retirar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Retira la pieza del flujo de venta; requiere confirmación.</w:t>
            </w:r>
          </w:p>
        </w:tc>
      </w:tr>
    </w:tbl>
    <w:p>
      <w:pPr>
        <w:spacing w:after="20"/>
      </w:pPr>
    </w:p>
    <w:p>
      <w:pPr>
        <w:pStyle w:val="Heading2"/>
      </w:pPr>
      <w:r>
        <w:t>Modificar varias piezas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7" name="Picture 7" descr="Listado con una pieza seleccionada y controles de cambio mas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mbio-masiv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Figura 7. Barra de modificación masiva tras seleccionar una pieza.</w:t>
      </w:r>
    </w:p>
    <w:p>
      <w:pPr>
        <w:numPr>
          <w:ilvl w:val="0"/>
          <w:numId w:val="22"/>
        </w:numPr>
        <w:spacing w:after="80" w:line="300" w:lineRule="auto"/>
      </w:pPr>
      <w:r>
        <w:t>Marca las casillas de las piezas que deseas modificar o selecciona toda la página.</w:t>
      </w:r>
    </w:p>
    <w:p>
      <w:pPr>
        <w:numPr>
          <w:ilvl w:val="0"/>
          <w:numId w:val="22"/>
        </w:numPr>
        <w:spacing w:after="80" w:line="300" w:lineRule="auto"/>
      </w:pPr>
      <w:r>
        <w:t>Elige el dato: estado de la pieza, estado del proceso o publicación online.</w:t>
      </w:r>
    </w:p>
    <w:p>
      <w:pPr>
        <w:numPr>
          <w:ilvl w:val="0"/>
          <w:numId w:val="22"/>
        </w:numPr>
        <w:spacing w:after="80" w:line="300" w:lineRule="auto"/>
      </w:pPr>
      <w:r>
        <w:t>Selecciona el nuevo valor.</w:t>
      </w:r>
    </w:p>
    <w:p>
      <w:pPr>
        <w:numPr>
          <w:ilvl w:val="0"/>
          <w:numId w:val="22"/>
        </w:numPr>
        <w:spacing w:after="80" w:line="300" w:lineRule="auto"/>
      </w:pPr>
      <w:r>
        <w:t>Pulsa Aplicar y confirma el número de piezas afectadas.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  <w:tcBorders>
              <w:start w:val="single" w:sz="18" w:color="9B1C1C"/>
            </w:tcBorders>
          </w:tcPr>
          <w:p>
            <w:pPr>
              <w:pStyle w:val="Tip"/>
              <w:keepNext w:val="0"/>
              <w:keepLines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Precaución: </w:t>
            </w:r>
            <w:r>
              <w:rPr>
                <w:rFonts w:ascii="Calibri" w:hAnsi="Calibri"/>
                <w:color w:val="20252B"/>
                <w:sz w:val="21"/>
              </w:rPr>
              <w:t>Los cambios masivos se aplican a todas las piezas seleccionadas, aunque estén en páginas diferentes. Revisa el contador antes de confirmar.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8. Organizar estanterías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 descr="Tarjetas de estanterías con capacidad, huecos libres y controles de est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stanteri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Figura 8. Resumen de estanterías, ocupación y disponibilidad.</w:t>
      </w:r>
    </w:p>
    <w:p>
      <w:pPr>
        <w:pStyle w:val="Heading2"/>
      </w:pPr>
      <w:r>
        <w:t>Información de cada estantería</w:t>
      </w:r>
    </w:p>
    <w:p>
      <w:pPr>
        <w:numPr>
          <w:ilvl w:val="0"/>
          <w:numId w:val="23"/>
        </w:numPr>
        <w:spacing w:after="80" w:line="300" w:lineRule="auto"/>
      </w:pPr>
      <w:r>
        <w:t>Código y nombre descriptivo.</w:t>
      </w:r>
    </w:p>
    <w:p>
      <w:pPr>
        <w:numPr>
          <w:ilvl w:val="0"/>
          <w:numId w:val="23"/>
        </w:numPr>
        <w:spacing w:after="80" w:line="300" w:lineRule="auto"/>
      </w:pPr>
      <w:r>
        <w:t>Número de niveles y huecos por nivel.</w:t>
      </w:r>
    </w:p>
    <w:p>
      <w:pPr>
        <w:numPr>
          <w:ilvl w:val="0"/>
          <w:numId w:val="23"/>
        </w:numPr>
        <w:spacing w:after="80" w:line="300" w:lineRule="auto"/>
      </w:pPr>
      <w:r>
        <w:t>Capacidad máxima, ocupados, libres y porcentaje de ocupación.</w:t>
      </w:r>
    </w:p>
    <w:p>
      <w:pPr>
        <w:numPr>
          <w:ilvl w:val="0"/>
          <w:numId w:val="23"/>
        </w:numPr>
        <w:spacing w:after="80" w:line="300" w:lineRule="auto"/>
      </w:pPr>
      <w:r>
        <w:t>Siguiente hueco disponible.</w:t>
      </w:r>
    </w:p>
    <w:p>
      <w:pPr>
        <w:numPr>
          <w:ilvl w:val="0"/>
          <w:numId w:val="23"/>
        </w:numPr>
        <w:spacing w:after="80" w:line="300" w:lineRule="auto"/>
      </w:pPr>
      <w:r>
        <w:t>Reglas generales o grupos de niveles configurados.</w:t>
      </w:r>
    </w:p>
    <w:p>
      <w:pPr>
        <w:numPr>
          <w:ilvl w:val="0"/>
          <w:numId w:val="23"/>
        </w:numPr>
        <w:spacing w:after="80" w:line="300" w:lineRule="auto"/>
      </w:pPr>
      <w:r>
        <w:t>Estado activa, inactiva, disponible o llena.</w:t>
      </w:r>
    </w:p>
    <w:p>
      <w:pPr>
        <w:pStyle w:val="Heading2"/>
      </w:pPr>
      <w:r>
        <w:t>Controles rápidos</w:t>
      </w:r>
    </w:p>
    <w:p>
      <w:pPr>
        <w:numPr>
          <w:ilvl w:val="0"/>
          <w:numId w:val="24"/>
        </w:numPr>
        <w:spacing w:after="80" w:line="300" w:lineRule="auto"/>
      </w:pPr>
      <w:r>
        <w:rPr>
          <w:b/>
        </w:rPr>
        <w:t xml:space="preserve">Editar. </w:t>
      </w:r>
      <w:r>
        <w:t>Abre el formulario completo sin perder las piezas ya ubicadas.</w:t>
      </w:r>
    </w:p>
    <w:p>
      <w:pPr>
        <w:numPr>
          <w:ilvl w:val="0"/>
          <w:numId w:val="24"/>
        </w:numPr>
        <w:spacing w:after="80" w:line="300" w:lineRule="auto"/>
      </w:pPr>
      <w:r>
        <w:rPr>
          <w:b/>
        </w:rPr>
        <w:t xml:space="preserve">Marcar llena. </w:t>
      </w:r>
      <w:r>
        <w:t>Bloquea temporalmente nuevas sugerencias aunque queden huecos.</w:t>
      </w:r>
    </w:p>
    <w:p>
      <w:pPr>
        <w:numPr>
          <w:ilvl w:val="0"/>
          <w:numId w:val="24"/>
        </w:numPr>
        <w:spacing w:after="80" w:line="300" w:lineRule="auto"/>
      </w:pPr>
      <w:r>
        <w:rPr>
          <w:b/>
        </w:rPr>
        <w:t xml:space="preserve">Marcar con espacio. </w:t>
      </w:r>
      <w:r>
        <w:t>Quita el bloqueo manual.</w:t>
      </w:r>
    </w:p>
    <w:p>
      <w:pPr>
        <w:numPr>
          <w:ilvl w:val="0"/>
          <w:numId w:val="24"/>
        </w:numPr>
        <w:spacing w:after="80" w:line="300" w:lineRule="auto"/>
      </w:pPr>
      <w:r>
        <w:rPr>
          <w:b/>
        </w:rPr>
        <w:t xml:space="preserve">Desactivar. </w:t>
      </w:r>
      <w:r>
        <w:t>Evita que la estantería participe en las sugerencias.</w:t>
      </w:r>
    </w:p>
    <w:p>
      <w:pPr>
        <w:numPr>
          <w:ilvl w:val="0"/>
          <w:numId w:val="24"/>
        </w:numPr>
        <w:spacing w:after="80" w:line="300" w:lineRule="auto"/>
      </w:pPr>
      <w:r>
        <w:rPr>
          <w:b/>
        </w:rPr>
        <w:t xml:space="preserve">Activar. </w:t>
      </w:r>
      <w:r>
        <w:t>Vuelve a incluirla en las sugerencias.</w:t>
      </w:r>
    </w:p>
    <w:p>
      <w:pPr>
        <w:pStyle w:val="Heading1"/>
        <w:pageBreakBefore/>
      </w:pPr>
      <w:r>
        <w:t>9. Crear o modificar una estantería por niveles</w:t>
      </w:r>
    </w:p>
    <w:p>
      <w:pPr>
        <w:spacing w:after="200"/>
      </w:pPr>
      <w:r>
        <w:t>Una misma estantería puede reservar grupos de niveles para tipos de pieza diferentes.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 descr="Formulario para identificar una estantería, definir tamaño y repartir piezas por nive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ormulario-estanter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Figura 9. Formulario de estantería dividido en tres pasos.</w:t>
      </w:r>
    </w:p>
    <w:p>
      <w:pPr>
        <w:pStyle w:val="Heading2"/>
      </w:pPr>
      <w:r>
        <w:t>Paso 1. Identificar</w:t>
      </w:r>
    </w:p>
    <w:p>
      <w:pPr>
        <w:numPr>
          <w:ilvl w:val="0"/>
          <w:numId w:val="25"/>
        </w:numPr>
        <w:spacing w:after="80" w:line="300" w:lineRule="auto"/>
      </w:pPr>
      <w:r>
        <w:t>Código único con formato E01, E02, E03...</w:t>
      </w:r>
    </w:p>
    <w:p>
      <w:pPr>
        <w:numPr>
          <w:ilvl w:val="0"/>
          <w:numId w:val="25"/>
        </w:numPr>
        <w:spacing w:after="80" w:line="300" w:lineRule="auto"/>
      </w:pPr>
      <w:r>
        <w:t>Nombre fácil de reconocer.</w:t>
      </w:r>
    </w:p>
    <w:p>
      <w:pPr>
        <w:numPr>
          <w:ilvl w:val="0"/>
          <w:numId w:val="25"/>
        </w:numPr>
        <w:spacing w:after="80" w:line="300" w:lineRule="auto"/>
      </w:pPr>
      <w:r>
        <w:t>Descripción opcional con pasillo, zona u observaciones.</w:t>
      </w:r>
    </w:p>
    <w:p>
      <w:pPr>
        <w:pStyle w:val="Heading2"/>
      </w:pPr>
      <w:r>
        <w:t>Paso 2. Definir el tamaño</w:t>
      </w:r>
    </w:p>
    <w:p>
      <w:pPr>
        <w:numPr>
          <w:ilvl w:val="0"/>
          <w:numId w:val="26"/>
        </w:numPr>
        <w:spacing w:after="80" w:line="300" w:lineRule="auto"/>
      </w:pPr>
      <w:r>
        <w:t>Número de niveles físicos.</w:t>
      </w:r>
    </w:p>
    <w:p>
      <w:pPr>
        <w:numPr>
          <w:ilvl w:val="0"/>
          <w:numId w:val="26"/>
        </w:numPr>
        <w:spacing w:after="80" w:line="300" w:lineRule="auto"/>
      </w:pPr>
      <w:r>
        <w:t>Número de huecos disponibles en cada nivel.</w:t>
      </w:r>
    </w:p>
    <w:p>
      <w:pPr>
        <w:numPr>
          <w:ilvl w:val="0"/>
          <w:numId w:val="26"/>
        </w:numPr>
        <w:spacing w:after="80" w:line="300" w:lineRule="auto"/>
      </w:pPr>
      <w:r>
        <w:t>Capacidad que se utilizará. No puede superar los huecos físicos calculados.</w:t>
      </w:r>
    </w:p>
    <w:p>
      <w:pPr>
        <w:pStyle w:val="Heading2"/>
      </w:pPr>
      <w:r>
        <w:t>Paso 3. Repartir piezas por niveles</w:t>
      </w:r>
    </w:p>
    <w:p>
      <w:r>
        <w:t>Crea un grupo para cada tipo de pieza. Indica Desde nivel, Hasta nivel y Qué piezas van aquí. En Palabras adicionales puedes añadir sinónimos o términos frecuentes.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F"/>
            <w:tcBorders>
              <w:start w:val="single" w:sz="18" w:color="237A45"/>
            </w:tcBorders>
          </w:tcPr>
          <w:p>
            <w:pPr>
              <w:pStyle w:val="Tip"/>
              <w:keepNext w:val="0"/>
              <w:keepLines/>
            </w:pPr>
            <w:r>
              <w:rPr>
                <w:rFonts w:ascii="Calibri" w:hAnsi="Calibri"/>
                <w:b/>
                <w:color w:val="237A45"/>
                <w:sz w:val="21"/>
              </w:rPr>
              <w:t xml:space="preserve">Ejemplo solicitado: </w:t>
            </w:r>
            <w:r>
              <w:rPr>
                <w:rFonts w:ascii="Calibri" w:hAnsi="Calibri"/>
                <w:color w:val="20252B"/>
                <w:sz w:val="21"/>
              </w:rPr>
              <w:t>Estantería E01 con 4 niveles: Grupo 1 = niveles 1 a 2, contenido Faros; Grupo 2 = niveles 3 a 4, contenido Retrovisores.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900"/>
        <w:gridCol w:w="900"/>
        <w:gridCol w:w="2400"/>
        <w:gridCol w:w="42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D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Grupo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D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Desde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D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Hasta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D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Contenido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D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Palabras adicionales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Faros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faro, piloto, óptica, antiniebla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Retrovisores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retrovisor, espejo, cristal espejo</w:t>
            </w:r>
          </w:p>
        </w:tc>
      </w:tr>
    </w:tbl>
    <w:p>
      <w:pPr>
        <w:spacing w:after="20"/>
      </w:pPr>
    </w:p>
    <w:p>
      <w:pPr>
        <w:numPr>
          <w:ilvl w:val="0"/>
          <w:numId w:val="27"/>
        </w:numPr>
        <w:spacing w:after="80" w:line="300" w:lineRule="auto"/>
      </w:pPr>
      <w:r>
        <w:t>Pulsa Añadir otro grupo de niveles para crear más divisiones.</w:t>
      </w:r>
    </w:p>
    <w:p>
      <w:pPr>
        <w:numPr>
          <w:ilvl w:val="0"/>
          <w:numId w:val="27"/>
        </w:numPr>
        <w:spacing w:after="80" w:line="300" w:lineRule="auto"/>
      </w:pPr>
      <w:r>
        <w:t>Pulsa Quitar para eliminar un grupo que ya no necesites.</w:t>
      </w:r>
    </w:p>
    <w:p>
      <w:pPr>
        <w:numPr>
          <w:ilvl w:val="0"/>
          <w:numId w:val="27"/>
        </w:numPr>
        <w:spacing w:after="80" w:line="300" w:lineRule="auto"/>
      </w:pPr>
      <w:r>
        <w:t>Un mismo nivel no puede aparecer en dos grupos.</w:t>
      </w:r>
    </w:p>
    <w:p>
      <w:pPr>
        <w:numPr>
          <w:ilvl w:val="0"/>
          <w:numId w:val="27"/>
        </w:numPr>
        <w:spacing w:after="80" w:line="300" w:lineRule="auto"/>
      </w:pPr>
      <w:r>
        <w:t>Los niveles indicados deben estar dentro del número total de niveles.</w:t>
      </w:r>
    </w:p>
    <w:p>
      <w:pPr>
        <w:numPr>
          <w:ilvl w:val="0"/>
          <w:numId w:val="27"/>
        </w:numPr>
        <w:spacing w:after="80" w:line="300" w:lineRule="auto"/>
      </w:pPr>
      <w:r>
        <w:t>Guarda con Crear estantería o Guardar cambios.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start w:val="single" w:sz="18" w:color="2E74B5"/>
            </w:tcBorders>
          </w:tcPr>
          <w:p>
            <w:pPr>
              <w:pStyle w:val="Tip"/>
              <w:keepNext w:val="0"/>
              <w:keepLines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Cómo decide el sistema: </w:t>
            </w:r>
            <w:r>
              <w:rPr>
                <w:rFonts w:ascii="Calibri" w:hAnsi="Calibri"/>
                <w:color w:val="20252B"/>
                <w:sz w:val="21"/>
              </w:rPr>
              <w:t>Busca coincidencias entre el nombre, descripción y categoría de la pieza y el contenido o palabras adicionales del grupo. Después elige el primer hueco libre dentro de esos niveles.</w:t>
            </w:r>
          </w:p>
        </w:tc>
      </w:tr>
    </w:tbl>
    <w:p>
      <w:pPr>
        <w:spacing w:after="40"/>
      </w:pPr>
    </w:p>
    <w:p>
      <w:pPr>
        <w:pStyle w:val="Heading2"/>
      </w:pPr>
      <w:r>
        <w:t>Errores del formulario</w:t>
      </w:r>
    </w:p>
    <w:p>
      <w:r>
        <w:t>Si existe un código duplicado, una capacidad incorrecta, niveles solapados o un intervalo fuera de rango, el aviso aparece dentro del formulario y permanece visible. Corrige el dato indicado y vuelve a guardar.</w:t>
      </w:r>
    </w:p>
    <w:p>
      <w:pPr>
        <w:pStyle w:val="Heading1"/>
        <w:pageBreakBefore/>
      </w:pPr>
      <w:r>
        <w:t>10. Flujos de trabajo recomendados</w:t>
      </w:r>
    </w:p>
    <w:p>
      <w:pPr>
        <w:pStyle w:val="Heading2"/>
      </w:pPr>
      <w:r>
        <w:t>Entrada rápida como borrador</w:t>
      </w:r>
    </w:p>
    <w:p>
      <w:pPr>
        <w:numPr>
          <w:ilvl w:val="0"/>
          <w:numId w:val="28"/>
        </w:numPr>
        <w:spacing w:after="80" w:line="300" w:lineRule="auto"/>
      </w:pPr>
      <w:r>
        <w:t>Crea la pieza con nombre provisional, procedencia y referencia si está disponible.</w:t>
      </w:r>
    </w:p>
    <w:p>
      <w:pPr>
        <w:numPr>
          <w:ilvl w:val="0"/>
          <w:numId w:val="28"/>
        </w:numPr>
        <w:spacing w:after="80" w:line="300" w:lineRule="auto"/>
      </w:pPr>
      <w:r>
        <w:t>Déjala en Pendiente de identificar o Pendiente de comprobar.</w:t>
      </w:r>
    </w:p>
    <w:p>
      <w:pPr>
        <w:numPr>
          <w:ilvl w:val="0"/>
          <w:numId w:val="28"/>
        </w:numPr>
        <w:spacing w:after="80" w:line="300" w:lineRule="auto"/>
      </w:pPr>
      <w:r>
        <w:t>Guarda y completa después la ficha, las fotos y la ubicación.</w:t>
      </w:r>
    </w:p>
    <w:p>
      <w:pPr>
        <w:pStyle w:val="Heading2"/>
      </w:pPr>
      <w:r>
        <w:t>Preparar una pieza para venta</w:t>
      </w:r>
    </w:p>
    <w:p>
      <w:pPr>
        <w:numPr>
          <w:ilvl w:val="0"/>
          <w:numId w:val="29"/>
        </w:numPr>
        <w:spacing w:after="80" w:line="300" w:lineRule="auto"/>
      </w:pPr>
      <w:r>
        <w:t>Confirma identificación, referencia, estado y compatibilidad.</w:t>
      </w:r>
    </w:p>
    <w:p>
      <w:pPr>
        <w:numPr>
          <w:ilvl w:val="0"/>
          <w:numId w:val="29"/>
        </w:numPr>
        <w:spacing w:after="80" w:line="300" w:lineRule="auto"/>
      </w:pPr>
      <w:r>
        <w:t>Añade precio de venta, cantidad y fotografías claras.</w:t>
      </w:r>
    </w:p>
    <w:p>
      <w:pPr>
        <w:numPr>
          <w:ilvl w:val="0"/>
          <w:numId w:val="29"/>
        </w:numPr>
        <w:spacing w:after="80" w:line="300" w:lineRule="auto"/>
      </w:pPr>
      <w:r>
        <w:t>Ubica físicamente la pieza y confirma el hueco.</w:t>
      </w:r>
    </w:p>
    <w:p>
      <w:pPr>
        <w:numPr>
          <w:ilvl w:val="0"/>
          <w:numId w:val="29"/>
        </w:numPr>
        <w:spacing w:after="80" w:line="300" w:lineRule="auto"/>
      </w:pPr>
      <w:r>
        <w:t>Selecciona Lista para publicar para revisar requisitos.</w:t>
      </w:r>
    </w:p>
    <w:p>
      <w:pPr>
        <w:numPr>
          <w:ilvl w:val="0"/>
          <w:numId w:val="29"/>
        </w:numPr>
        <w:spacing w:after="80" w:line="300" w:lineRule="auto"/>
      </w:pPr>
      <w:r>
        <w:t>Cuando esté lista, utiliza Publicar y comprueba el indicador Online.</w:t>
      </w:r>
    </w:p>
    <w:p>
      <w:pPr>
        <w:pStyle w:val="Heading2"/>
      </w:pPr>
      <w:r>
        <w:t>Venta y expedición</w:t>
      </w:r>
    </w:p>
    <w:p>
      <w:pPr>
        <w:numPr>
          <w:ilvl w:val="0"/>
          <w:numId w:val="30"/>
        </w:numPr>
        <w:spacing w:after="80" w:line="300" w:lineRule="auto"/>
      </w:pPr>
      <w:r>
        <w:t>Reserva la pieza para evitar que se gestione como disponible.</w:t>
      </w:r>
    </w:p>
    <w:p>
      <w:pPr>
        <w:numPr>
          <w:ilvl w:val="0"/>
          <w:numId w:val="30"/>
        </w:numPr>
        <w:spacing w:after="80" w:line="300" w:lineRule="auto"/>
      </w:pPr>
      <w:r>
        <w:t>Cuando se complete la venta, pulsa Vendida y confirma.</w:t>
      </w:r>
    </w:p>
    <w:p>
      <w:pPr>
        <w:numPr>
          <w:ilvl w:val="0"/>
          <w:numId w:val="30"/>
        </w:numPr>
        <w:spacing w:after="80" w:line="300" w:lineRule="auto"/>
      </w:pPr>
      <w:r>
        <w:t>Al preparar la salida, utiliza el estado Pendiente de envío.</w:t>
      </w:r>
    </w:p>
    <w:p>
      <w:pPr>
        <w:numPr>
          <w:ilvl w:val="0"/>
          <w:numId w:val="30"/>
        </w:numPr>
        <w:spacing w:after="80" w:line="300" w:lineRule="auto"/>
      </w:pPr>
      <w:r>
        <w:t>Después de expedirla, pulsa Enviada.</w:t>
      </w:r>
    </w:p>
    <w:p>
      <w:pPr>
        <w:pStyle w:val="Heading2"/>
      </w:pPr>
      <w:r>
        <w:t>Reorganizar el almacén</w:t>
      </w:r>
    </w:p>
    <w:p>
      <w:pPr>
        <w:numPr>
          <w:ilvl w:val="0"/>
          <w:numId w:val="31"/>
        </w:numPr>
        <w:spacing w:after="80" w:line="300" w:lineRule="auto"/>
      </w:pPr>
      <w:r>
        <w:t>Crea o edita las reglas de estantería antes de ubicar un lote grande.</w:t>
      </w:r>
    </w:p>
    <w:p>
      <w:pPr>
        <w:numPr>
          <w:ilvl w:val="0"/>
          <w:numId w:val="31"/>
        </w:numPr>
        <w:spacing w:after="80" w:line="300" w:lineRule="auto"/>
      </w:pPr>
      <w:r>
        <w:t>Marca como llena una zona temporalmente bloqueada.</w:t>
      </w:r>
    </w:p>
    <w:p>
      <w:pPr>
        <w:numPr>
          <w:ilvl w:val="0"/>
          <w:numId w:val="31"/>
        </w:numPr>
        <w:spacing w:after="80" w:line="300" w:lineRule="auto"/>
      </w:pPr>
      <w:r>
        <w:t>Recalcula la ubicación de cada pieza antes de colocarla.</w:t>
      </w:r>
    </w:p>
    <w:p>
      <w:pPr>
        <w:numPr>
          <w:ilvl w:val="0"/>
          <w:numId w:val="31"/>
        </w:numPr>
        <w:spacing w:after="80" w:line="300" w:lineRule="auto"/>
      </w:pPr>
      <w:r>
        <w:t>Usa el filtro de ubicación para revisar el contenido de una estantería.</w:t>
      </w:r>
    </w:p>
    <w:p>
      <w:pPr>
        <w:pStyle w:val="Heading1"/>
        <w:pageBreakBefore/>
      </w:pPr>
      <w:r>
        <w:t>11. Solución de problemas y buenas prácticas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Situación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Qué hacer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No puedo publicar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Completa nombre, referencia, estado, precio, ubicación, cantidad y al menos una fotografía.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No hay ubicación recomendada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Revisa reglas, palabras, estanterías activas, capacidad y bloqueos manuales.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El hueco está ocupado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Pulsa Recalcular o selecciona otra ubicación libre.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La cámara no funciona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Usa lector USB/Bluetooth o escritura manual.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No se abre la etiqueta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Permite ventanas emergentes y vuelve a pulsar Imprimir etiqueta QR.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No puedo copiar la foto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Comprueba que el almacenamiento de fotografías esté configurado como público.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La fotografía no sube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Verifica que sea una imagen y que no supere 10 MB.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Error al guardar estantería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Lee el aviso visible: revisa código, capacidad, intervalos y niveles repetidos.</w:t>
            </w:r>
          </w:p>
        </w:tc>
      </w:tr>
    </w:tbl>
    <w:p>
      <w:pPr>
        <w:spacing w:after="20"/>
      </w:pPr>
    </w:p>
    <w:p>
      <w:pPr>
        <w:pStyle w:val="Heading2"/>
      </w:pPr>
      <w:r>
        <w:t>Buenas prácticas diarias</w:t>
      </w:r>
    </w:p>
    <w:p>
      <w:pPr>
        <w:numPr>
          <w:ilvl w:val="0"/>
          <w:numId w:val="32"/>
        </w:numPr>
        <w:spacing w:after="80" w:line="300" w:lineRule="auto"/>
      </w:pPr>
      <w:r>
        <w:t>No marques una pieza como colocada hasta haberla dejado físicamente en el hueco indicado.</w:t>
      </w:r>
    </w:p>
    <w:p>
      <w:pPr>
        <w:numPr>
          <w:ilvl w:val="0"/>
          <w:numId w:val="32"/>
        </w:numPr>
        <w:spacing w:after="80" w:line="300" w:lineRule="auto"/>
      </w:pPr>
      <w:r>
        <w:t>Usa nombres claros y añade sinónimos a las reglas de niveles.</w:t>
      </w:r>
    </w:p>
    <w:p>
      <w:pPr>
        <w:numPr>
          <w:ilvl w:val="0"/>
          <w:numId w:val="32"/>
        </w:numPr>
        <w:spacing w:after="80" w:line="300" w:lineRule="auto"/>
      </w:pPr>
      <w:r>
        <w:t>Mantén una sola fotografía principal y elimina imágenes repetidas o incorrectas.</w:t>
      </w:r>
    </w:p>
    <w:p>
      <w:pPr>
        <w:numPr>
          <w:ilvl w:val="0"/>
          <w:numId w:val="32"/>
        </w:numPr>
        <w:spacing w:after="80" w:line="300" w:lineRule="auto"/>
      </w:pPr>
      <w:r>
        <w:t>Utiliza referencias OEM siempre que estén disponibles.</w:t>
      </w:r>
    </w:p>
    <w:p>
      <w:pPr>
        <w:numPr>
          <w:ilvl w:val="0"/>
          <w:numId w:val="32"/>
        </w:numPr>
        <w:spacing w:after="80" w:line="300" w:lineRule="auto"/>
      </w:pPr>
      <w:r>
        <w:t>Revisa la cantidad y el estado después de una venta o devolución.</w:t>
      </w:r>
    </w:p>
    <w:p>
      <w:pPr>
        <w:numPr>
          <w:ilvl w:val="0"/>
          <w:numId w:val="32"/>
        </w:numPr>
        <w:spacing w:after="80" w:line="300" w:lineRule="auto"/>
      </w:pPr>
      <w:r>
        <w:t>Evita reutilizar una ubicación sin comprobar antes que esté libre.</w:t>
      </w:r>
    </w:p>
    <w:p>
      <w:pPr>
        <w:pStyle w:val="Heading1"/>
        <w:pageBreakBefore/>
      </w:pPr>
      <w:r>
        <w:t>12. Referencia rápida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Necesito...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Ruta rápida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Crear una pieza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Almacén Desguace &gt; Nueva pieza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Buscar una referencia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Buscar y filtrar &gt; escribir o Escanear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Modificar una pieza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Acciones &gt; Editar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Ver o añadir fotos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Acciones &gt; Ver fotos / Subir fotos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Imprimir etiqueta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Ver ficha &gt; Imprimir etiqueta QR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Colocar una pieza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Acciones &gt; Ubicar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Cambiar varias piezas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Seleccionar casillas &gt; elegir dato y valor &gt; Aplicar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Crear estantería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Organizar estanterías &gt; Nueva estantería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Separar por niveles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Editar estantería &gt; Reparte las piezas por niveles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Bloquear una estantería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0252B"/>
                <w:sz w:val="19"/>
              </w:rPr>
              <w:t>Organizar estanterías &gt; Marcar llena o Desactivar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D"/>
            <w:tcBorders>
              <w:start w:val="single" w:sz="18" w:color="9A6700"/>
            </w:tcBorders>
          </w:tcPr>
          <w:p>
            <w:pPr>
              <w:pStyle w:val="Tip"/>
              <w:keepNext w:val="0"/>
              <w:keepLines/>
            </w:pPr>
            <w:r>
              <w:rPr>
                <w:rFonts w:ascii="Calibri" w:hAnsi="Calibri"/>
                <w:b/>
                <w:color w:val="9A6700"/>
                <w:sz w:val="21"/>
              </w:rPr>
              <w:t xml:space="preserve">Regla de oro: </w:t>
            </w:r>
            <w:r>
              <w:rPr>
                <w:rFonts w:ascii="Calibri" w:hAnsi="Calibri"/>
                <w:color w:val="20252B"/>
                <w:sz w:val="21"/>
              </w:rPr>
              <w:t>La ubicación registrada debe coincidir siempre con el lugar físico real de la pieza.</w:t>
            </w:r>
          </w:p>
        </w:tc>
      </w:tr>
    </w:tbl>
    <w:p>
      <w:pPr>
        <w:spacing w:after="40"/>
      </w:pPr>
    </w:p>
    <w:p>
      <w:pPr>
        <w:spacing w:before="480"/>
        <w:jc w:val="center"/>
      </w:pPr>
      <w:r>
        <w:rPr>
          <w:rFonts w:ascii="Calibri" w:hAnsi="Calibri"/>
          <w:i/>
          <w:color w:val="667085"/>
          <w:sz w:val="20"/>
        </w:rPr>
        <w:t>Fin del manual · Cazapiezas - Almacén Desguace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CAZAPIEZAS  |  ALMACÉN DESGUACE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200"/>
    </w:pPr>
    <w:rPr>
      <w:rFonts w:ascii="Calibri" w:hAnsi="Calibr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p">
    <w:name w:val="Tip"/>
    <w:pPr>
      <w:spacing w:after="0" w:line="288" w:lineRule="auto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Almacén Desguace</dc:title>
  <dc:subject>Uso completo del módulo Almacén Desguace</dc:subject>
  <dc:creator>Cazapiezas</dc:creator>
  <cp:keywords>almacén, desguace, piezas, estanterías,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