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rPr>
      </w:pPr>
      <w:bookmarkStart w:colFirst="0" w:colLast="0" w:name="_dayp9opjwerj" w:id="0"/>
      <w:bookmarkEnd w:id="0"/>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Львівський національний університет імені Івана Франка</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електроніки та комп’ютерних технологій</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59"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Звіт </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лабораторної роботи №7</w:t>
      </w:r>
    </w:p>
    <w:p w:rsidR="00000000" w:rsidDel="00000000" w:rsidP="00000000" w:rsidRDefault="00000000" w:rsidRPr="00000000" w14:paraId="0000000B">
      <w:pPr>
        <w:pStyle w:val="Heading1"/>
        <w:keepNext w:val="0"/>
        <w:keepLines w:val="0"/>
        <w:shd w:fill="ffffff" w:val="clear"/>
        <w:spacing w:after="280" w:before="0" w:line="240" w:lineRule="auto"/>
        <w:jc w:val="center"/>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sz w:val="28"/>
          <w:szCs w:val="28"/>
          <w:rtl w:val="0"/>
        </w:rPr>
        <w:t xml:space="preserve">З курсу «</w:t>
      </w:r>
      <w:r w:rsidDel="00000000" w:rsidR="00000000" w:rsidRPr="00000000">
        <w:rPr>
          <w:sz w:val="26"/>
          <w:szCs w:val="26"/>
          <w:rtl w:val="0"/>
        </w:rPr>
        <w:t xml:space="preserve">Комп'ютерні інформаційні мережі</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«Монітринг мережі»</w:t>
      </w:r>
    </w:p>
    <w:p w:rsidR="00000000" w:rsidDel="00000000" w:rsidP="00000000" w:rsidRDefault="00000000" w:rsidRPr="00000000" w14:paraId="0000000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tab/>
        <w:tab/>
        <w:tab/>
        <w:tab/>
        <w:tab/>
        <w:tab/>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1">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ФеС-21</w:t>
      </w:r>
    </w:p>
    <w:p w:rsidR="00000000" w:rsidDel="00000000" w:rsidP="00000000" w:rsidRDefault="00000000" w:rsidRPr="00000000" w14:paraId="00000012">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Шавало Андрій</w:t>
      </w:r>
    </w:p>
    <w:p w:rsidR="00000000" w:rsidDel="00000000" w:rsidP="00000000" w:rsidRDefault="00000000" w:rsidRPr="00000000" w14:paraId="00000013">
      <w:pPr>
        <w:spacing w:after="160" w:line="259"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Львів-2025</w:t>
      </w:r>
    </w:p>
    <w:p w:rsidR="00000000" w:rsidDel="00000000" w:rsidP="00000000" w:rsidRDefault="00000000" w:rsidRPr="00000000" w14:paraId="000000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Отримати практичний досвід роботи з системами моніторингу мережі і аплікацій. </w:t>
      </w:r>
    </w:p>
    <w:p w:rsidR="00000000" w:rsidDel="00000000" w:rsidP="00000000" w:rsidRDefault="00000000" w:rsidRPr="00000000" w14:paraId="0000001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Встановити систему моніторингу Netdata (https://www.netdata.cloud/) (можна встановити як на сервері, так і в контейнері, вибір за вами). </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816100"/>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Продемонструвати моніторинг CPU, RAM, мережевої картки віртуального сервера.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0475" cy="866775"/>
            <wp:effectExtent b="0" l="0" r="0" t="0"/>
            <wp:docPr id="1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8004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Кудась зайшов</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57700" cy="28194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4577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Продемонструвати моніторинг контейнерів вордпресу з попередньої лабораторної.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НЄМА</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Бонусне завдання (виконувати не обов'язково, але за нього можна отримати багато додаткових балів) – налаштувати моніторинг на базі Telegraf зі зберіганням даних у базі influxdb 1.8 (саме версії 1.8 а не 2 і вище) і візуалізувати то все за допомогою Grafana і найголовніше – запхати то все в докер контейнери, щоб розгортати все з одно файлу.</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Створю файли docker-compose.yml та  telegraf.conf і запускаю</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38625" cy="10668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386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Приклад виводу даних в консолі</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096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Файл docker-compose.yml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33788" cy="4007122"/>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33788" cy="40071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Файл telegraf.conf</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1500" cy="2886075"/>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815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Створюю дешборд в Grafana</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27543" cy="2440198"/>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27543" cy="244019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43313" cy="1644034"/>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643313" cy="16440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5238" cy="499358"/>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05238" cy="49935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Виводжу дані mem:active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4116" cy="2557463"/>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24116"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mem:available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63830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mem:dirty</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1450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cpu:usage_panel</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7018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cpu:usage_system</w:t>
      </w:r>
    </w:p>
    <w:p w:rsidR="00000000" w:rsidDel="00000000" w:rsidP="00000000" w:rsidRDefault="00000000" w:rsidRPr="00000000" w14:paraId="00000049">
      <w:pPr>
        <w:rPr/>
      </w:pPr>
      <w:r w:rsidDel="00000000" w:rsidR="00000000" w:rsidRPr="00000000">
        <w:rPr/>
        <w:drawing>
          <wp:inline distB="114300" distT="114300" distL="114300" distR="114300">
            <wp:extent cx="5731200" cy="1752600"/>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b w:val="1"/>
          <w:sz w:val="30"/>
          <w:szCs w:val="30"/>
          <w:rtl w:val="0"/>
        </w:rPr>
        <w:t xml:space="preserve">Висновок:</w:t>
      </w:r>
      <w:r w:rsidDel="00000000" w:rsidR="00000000" w:rsidRPr="00000000">
        <w:rPr>
          <w:sz w:val="30"/>
          <w:szCs w:val="30"/>
          <w:rtl w:val="0"/>
        </w:rPr>
        <w:t xml:space="preserve">Під час виконання лабораторної роботи з моніторингу мережі було встановлено та налаштовано систему моніторингу на базі InfluxDB 1.8, Telegraf та Grafana, яка дозволяє відстежувати ключові показники роботи сервера (CPU, RAM, мережевий трафік) та контейнерів. Незважаючи на виниклі складнощі з підключенням між компонентами (помилки "connection refused" та синтаксичні помилки InfluxQL), вдалося досягти стабільної роботи стеку: Telegraf коректно збирає метрики, InfluxDB зберігає дані, а Grafana надає зручну візуалізацію. Отриманий досвід підтверджує важливість точного дотримання синтаксису запитів та правил мережевої взаємодії між контейнерами Docker, що є критичним для побудови ефективних систем моніторингу.</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