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360" w:before="76" w:after="0"/>
        <w:ind w:left="1338" w:right="1914" w:firstLine="1082"/>
        <w:jc w:val="left"/>
        <w:rPr/>
      </w:pPr>
      <w:r>
        <w:rPr/>
        <w:tab/>
        <w:t>Міністерство освіти і науки України</w:t>
      </w:r>
    </w:p>
    <w:p>
      <w:pPr>
        <w:pStyle w:val="Style14"/>
        <w:bidi w:val="0"/>
        <w:spacing w:lineRule="auto" w:line="360" w:before="76" w:after="0"/>
        <w:ind w:left="1338" w:right="1914" w:hanging="0"/>
        <w:jc w:val="left"/>
        <w:rPr/>
      </w:pPr>
      <w:r>
        <w:rPr>
          <w:lang w:eastAsia="ja-JP"/>
        </w:rPr>
        <w:t>Львівський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національний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університет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імені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Іванка Франка</w:t>
      </w:r>
    </w:p>
    <w:p>
      <w:pPr>
        <w:pStyle w:val="Style14"/>
        <w:bidi w:val="0"/>
        <w:spacing w:lineRule="auto" w:line="360"/>
        <w:ind w:left="2498" w:right="2270" w:hanging="880"/>
        <w:jc w:val="left"/>
        <w:rPr/>
      </w:pPr>
      <w:r>
        <w:rPr/>
        <w:t>Факультет</w:t>
      </w:r>
      <w:r>
        <w:rPr>
          <w:spacing w:val="-15"/>
        </w:rPr>
        <w:t xml:space="preserve"> </w:t>
      </w:r>
      <w:r>
        <w:rPr/>
        <w:t>електроніки</w:t>
      </w:r>
      <w:r>
        <w:rPr>
          <w:spacing w:val="-15"/>
        </w:rPr>
        <w:t xml:space="preserve"> </w:t>
      </w:r>
      <w:r>
        <w:rPr/>
        <w:t>та</w:t>
      </w:r>
      <w:r>
        <w:rPr>
          <w:spacing w:val="-15"/>
        </w:rPr>
        <w:t xml:space="preserve"> </w:t>
      </w:r>
      <w:r>
        <w:rPr/>
        <w:t>комп’ютерних</w:t>
      </w:r>
      <w:r>
        <w:rPr>
          <w:spacing w:val="-15"/>
        </w:rPr>
        <w:t xml:space="preserve"> </w:t>
      </w:r>
      <w:r>
        <w:rPr/>
        <w:t>технологій Кафедра системного проектування</w:t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8"/>
        <w:bidi w:val="0"/>
        <w:spacing w:lineRule="auto" w:line="360"/>
        <w:rPr/>
      </w:pPr>
      <w:r>
        <w:rPr/>
        <w:t>Курсова</w:t>
      </w:r>
      <w:r>
        <w:rPr>
          <w:spacing w:val="-15"/>
        </w:rPr>
        <w:t xml:space="preserve"> </w:t>
      </w:r>
      <w:r>
        <w:rPr>
          <w:spacing w:val="-2"/>
        </w:rPr>
        <w:t>робота</w:t>
      </w:r>
    </w:p>
    <w:p>
      <w:pPr>
        <w:pStyle w:val="Style14"/>
        <w:bidi w:val="0"/>
        <w:spacing w:lineRule="auto" w:line="360"/>
        <w:jc w:val="left"/>
        <w:rPr>
          <w:b/>
        </w:rPr>
      </w:pPr>
      <w:r>
        <w:rPr>
          <w:b/>
        </w:rPr>
      </w:r>
    </w:p>
    <w:p>
      <w:pPr>
        <w:pStyle w:val="Style14"/>
        <w:bidi w:val="0"/>
        <w:spacing w:lineRule="auto" w:line="360"/>
        <w:ind w:left="0" w:right="1802" w:hanging="0"/>
        <w:jc w:val="center"/>
        <w:rPr/>
      </w:pPr>
      <w:r>
        <w:rPr/>
        <w:tab/>
        <w:tab/>
        <w:t>Віддалене керування пристроєм ІоТ через Arduino Cloud</w:t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bidi w:val="0"/>
        <w:spacing w:lineRule="auto" w:line="360"/>
        <w:ind w:left="6752" w:right="109" w:firstLine="1356"/>
        <w:jc w:val="right"/>
        <w:rPr/>
      </w:pPr>
      <w:r>
        <w:rPr>
          <w:spacing w:val="-2"/>
        </w:rPr>
        <w:t xml:space="preserve">Виконав: </w:t>
      </w:r>
      <w:r>
        <w:rPr/>
        <w:t>студент</w:t>
      </w:r>
      <w:r>
        <w:rPr>
          <w:spacing w:val="-9"/>
        </w:rPr>
        <w:t xml:space="preserve"> </w:t>
      </w:r>
      <w:r>
        <w:rPr/>
        <w:t>групи</w:t>
      </w:r>
      <w:r>
        <w:rPr>
          <w:spacing w:val="-8"/>
        </w:rPr>
        <w:t xml:space="preserve"> </w:t>
      </w:r>
      <w:r>
        <w:rPr/>
        <w:t>ФеІ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>
          <w:spacing w:val="-5"/>
        </w:rPr>
        <w:t>21</w:t>
      </w:r>
    </w:p>
    <w:p>
      <w:pPr>
        <w:pStyle w:val="Style14"/>
        <w:bidi w:val="0"/>
        <w:spacing w:lineRule="auto" w:line="360"/>
        <w:ind w:left="0" w:right="112" w:hanging="0"/>
        <w:jc w:val="right"/>
        <w:rPr/>
      </w:pPr>
      <w:r>
        <w:rPr/>
        <w:t>спеціальності</w:t>
      </w:r>
      <w:r>
        <w:rPr>
          <w:spacing w:val="-8"/>
        </w:rPr>
        <w:t xml:space="preserve"> </w:t>
      </w:r>
      <w:r>
        <w:rPr/>
        <w:t>122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Комп’ютерні</w:t>
      </w:r>
      <w:r>
        <w:rPr>
          <w:spacing w:val="-5"/>
        </w:rPr>
        <w:t xml:space="preserve"> </w:t>
      </w:r>
      <w:r>
        <w:rPr>
          <w:spacing w:val="-4"/>
        </w:rPr>
        <w:t>науки</w:t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tabs>
          <w:tab w:val="clear" w:pos="709"/>
          <w:tab w:val="left" w:pos="173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spacing w:val="-2"/>
          <w:u w:val="none"/>
        </w:rPr>
        <w:t>Крамар А.О.</w:t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bidi w:val="0"/>
        <w:spacing w:lineRule="auto" w:line="360"/>
        <w:ind w:left="0" w:right="111" w:hanging="0"/>
        <w:jc w:val="right"/>
        <w:rPr/>
      </w:pPr>
      <w:r>
        <w:rPr>
          <w:spacing w:val="-2"/>
        </w:rPr>
        <w:t>Науковий</w:t>
      </w:r>
      <w:r>
        <w:rPr>
          <w:spacing w:val="-13"/>
        </w:rPr>
        <w:t xml:space="preserve"> </w:t>
      </w:r>
      <w:r>
        <w:rPr>
          <w:spacing w:val="-2"/>
        </w:rPr>
        <w:t>керівник:</w:t>
      </w:r>
    </w:p>
    <w:p>
      <w:pPr>
        <w:pStyle w:val="Style14"/>
        <w:tabs>
          <w:tab w:val="clear" w:pos="709"/>
          <w:tab w:val="left" w:pos="125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u w:val="none"/>
        </w:rPr>
        <w:t>доц</w:t>
      </w:r>
      <w:r>
        <w:rPr/>
        <w:t>.</w:t>
      </w:r>
      <w:r>
        <w:rPr>
          <w:spacing w:val="-9"/>
        </w:rPr>
        <w:t xml:space="preserve"> Кушнір О</w:t>
      </w:r>
      <w:r>
        <w:rPr>
          <w:spacing w:val="-4"/>
        </w:rPr>
        <w:t>.О.</w:t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tabs>
          <w:tab w:val="clear" w:pos="709"/>
          <w:tab w:val="left" w:pos="599" w:leader="none"/>
          <w:tab w:val="left" w:pos="2099" w:leader="none"/>
        </w:tabs>
        <w:bidi w:val="0"/>
        <w:spacing w:lineRule="auto" w:line="360"/>
        <w:ind w:left="0" w:right="108" w:hanging="0"/>
        <w:jc w:val="right"/>
        <w:rPr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 xml:space="preserve">» </w:t>
      </w:r>
      <w:r>
        <w:rPr>
          <w:u w:val="single"/>
        </w:rPr>
        <w:tab/>
      </w:r>
      <w:r>
        <w:rPr/>
        <w:t>2024</w:t>
      </w:r>
      <w:r>
        <w:rPr>
          <w:spacing w:val="-2"/>
        </w:rPr>
        <w:t xml:space="preserve"> </w:t>
      </w:r>
      <w:r>
        <w:rPr>
          <w:spacing w:val="-5"/>
        </w:rPr>
        <w:t>р.</w:t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4"/>
        <w:bidi w:val="0"/>
        <w:spacing w:lineRule="auto" w:line="360"/>
        <w:jc w:val="left"/>
        <w:rPr/>
      </w:pPr>
      <w:r>
        <w:rPr/>
      </w:r>
    </w:p>
    <w:p>
      <w:pPr>
        <w:pStyle w:val="Style18"/>
        <w:bidi w:val="0"/>
        <w:spacing w:lineRule="auto" w:line="360"/>
        <w:ind w:left="0" w:right="1802" w:hanging="0"/>
        <w:jc w:val="center"/>
        <w:rPr/>
      </w:pPr>
      <w:r>
        <w:rPr>
          <w:u w:val="none"/>
        </w:rPr>
        <w:tab/>
        <w:tab/>
      </w:r>
      <w:r>
        <w:rPr>
          <w:u w:val="single"/>
        </w:rPr>
        <w:t>Львів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2024</w:t>
      </w:r>
    </w:p>
    <w:p>
      <w:pPr>
        <w:pStyle w:val="Style18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Style18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Анотація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її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переклад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(Abstract)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Перелік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умовних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позначень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скорочень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i/>
          <w:sz w:val="24"/>
        </w:rPr>
        <w:t>(за</w:t>
      </w:r>
      <w:r>
        <w:rPr>
          <w:b/>
          <w:bCs/>
          <w:i/>
          <w:spacing w:val="-7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2"/>
          <w:sz w:val="24"/>
        </w:rPr>
        <w:t>Зміст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4"/>
          <w:sz w:val="24"/>
        </w:rPr>
        <w:t>Вступ</w:t>
      </w:r>
    </w:p>
    <w:p>
      <w:pPr>
        <w:pStyle w:val="Style14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0" w:after="0"/>
        <w:ind w:left="293" w:right="0" w:hanging="178"/>
        <w:jc w:val="left"/>
        <w:rPr/>
      </w:pPr>
      <w:r>
        <w:rPr>
          <w:b/>
          <w:bCs/>
          <w:color w:val="212121"/>
          <w:sz w:val="24"/>
        </w:rPr>
        <w:t>Постановка</w:t>
      </w:r>
      <w:r>
        <w:rPr>
          <w:b/>
          <w:bCs/>
          <w:color w:val="212121"/>
          <w:spacing w:val="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завдання: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Вхідні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дані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для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5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Що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планується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отримати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результаті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Аналіз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конкурентних,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аналогічних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чи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близьких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рішень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Архітектура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рішення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5"/>
          <w:sz w:val="24"/>
        </w:rPr>
        <w:t>...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360" w:leader="none"/>
        </w:tabs>
        <w:bidi w:val="0"/>
        <w:spacing w:lineRule="auto" w:line="360" w:before="0" w:after="0"/>
        <w:ind w:left="115" w:right="102" w:firstLine="710"/>
        <w:jc w:val="left"/>
        <w:rPr/>
      </w:pPr>
      <w:r>
        <w:rPr>
          <w:b/>
          <w:bCs/>
          <w:color w:val="212121"/>
          <w:sz w:val="24"/>
        </w:rPr>
        <w:t xml:space="preserve">Вибір і обгрунтування засобів та технологій використаних для виконання проекту </w:t>
      </w:r>
      <w:r>
        <w:rPr>
          <w:b/>
          <w:bCs/>
          <w:color w:val="C9211E"/>
          <w:sz w:val="24"/>
        </w:rPr>
        <w:t>виконувати опрацювання даних введених користувачем та збережених у базі даних х метою отримання додаткових відомостей, що мають цінність для користувачів проекту.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96" w:leader="none"/>
        </w:tabs>
        <w:bidi w:val="0"/>
        <w:spacing w:lineRule="auto" w:line="360" w:before="0" w:after="0"/>
        <w:ind w:left="1198" w:right="0" w:hanging="360"/>
        <w:jc w:val="left"/>
        <w:rPr>
          <w:b/>
          <w:bCs/>
          <w:color w:val="212121"/>
          <w:sz w:val="22"/>
        </w:rPr>
      </w:pPr>
      <w:r>
        <w:rPr>
          <w:b/>
          <w:bCs/>
          <w:color w:val="212121"/>
          <w:sz w:val="22"/>
        </w:rPr>
      </w:r>
    </w:p>
    <w:p>
      <w:pPr>
        <w:pStyle w:val="Style14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Теоретичні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pacing w:val="-2"/>
          <w:sz w:val="24"/>
        </w:rPr>
        <w:t>відомості.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072" w:leader="none"/>
        </w:tabs>
        <w:bidi w:val="0"/>
        <w:spacing w:lineRule="auto" w:line="360" w:before="0" w:after="0"/>
        <w:ind w:left="826" w:right="441" w:hanging="0"/>
        <w:jc w:val="left"/>
        <w:rPr/>
      </w:pPr>
      <w:r>
        <w:rPr>
          <w:b/>
          <w:bCs/>
          <w:color w:val="212121"/>
          <w:sz w:val="24"/>
        </w:rPr>
        <w:t>Додаткові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теоретичні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відомості,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які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необхідно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опрацювати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описати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виходячи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з завдань курсової.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780" w:leader="none"/>
          <w:tab w:val="left" w:pos="3068" w:leader="none"/>
        </w:tabs>
        <w:bidi w:val="0"/>
        <w:spacing w:lineRule="auto" w:line="360" w:before="0" w:after="0"/>
        <w:ind w:left="1534" w:right="743" w:hanging="708"/>
        <w:jc w:val="left"/>
        <w:rPr>
          <w:color w:val="C9211E"/>
        </w:rPr>
      </w:pPr>
      <w:r>
        <w:rPr>
          <w:b/>
          <w:bCs/>
          <w:color w:val="C9211E"/>
          <w:sz w:val="24"/>
        </w:rPr>
        <w:t>Технології,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засоби,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мови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програмування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використані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для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виконання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проекту. (Писати про те що дійсно використовувалося, а не загальні дані)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72" w:leader="none"/>
        </w:tabs>
        <w:bidi w:val="0"/>
        <w:spacing w:lineRule="auto" w:line="360" w:before="0" w:after="0"/>
        <w:ind w:left="1186" w:right="0" w:hanging="360"/>
        <w:jc w:val="left"/>
        <w:rPr/>
      </w:pPr>
      <w:r>
        <w:rPr>
          <w:b/>
          <w:bCs/>
          <w:sz w:val="24"/>
        </w:rPr>
        <w:t>​</w:t>
      </w:r>
    </w:p>
    <w:p>
      <w:pPr>
        <w:pStyle w:val="Style14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82" w:leader="none"/>
          <w:tab w:val="left" w:pos="1652" w:leader="none"/>
        </w:tabs>
        <w:bidi w:val="0"/>
        <w:spacing w:lineRule="auto" w:line="360" w:before="0" w:after="0"/>
        <w:ind w:left="826" w:right="1018" w:hanging="710"/>
        <w:jc w:val="left"/>
        <w:rPr/>
      </w:pPr>
      <w:r>
        <w:rPr>
          <w:b/>
          <w:bCs/>
          <w:color w:val="212121"/>
          <w:sz w:val="24"/>
        </w:rPr>
        <w:t>Реалізація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проекту.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Послідовний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опис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з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документуванням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коду. </w:t>
      </w:r>
      <w:r>
        <w:rPr>
          <w:b/>
          <w:bCs/>
          <w:color w:val="212121"/>
          <w:spacing w:val="-4"/>
          <w:sz w:val="24"/>
        </w:rPr>
        <w:t>8.1.</w:t>
      </w:r>
    </w:p>
    <w:p>
      <w:pPr>
        <w:pStyle w:val="Style14"/>
        <w:bidi w:val="0"/>
        <w:spacing w:lineRule="auto" w:line="360"/>
        <w:ind w:left="826" w:right="0" w:hanging="0"/>
        <w:jc w:val="left"/>
        <w:rPr/>
      </w:pPr>
      <w:r>
        <w:rPr>
          <w:b/>
          <w:bCs/>
          <w:color w:val="212121"/>
          <w:spacing w:val="-4"/>
        </w:rPr>
        <w:t>8.2.</w:t>
      </w:r>
    </w:p>
    <w:p>
      <w:pPr>
        <w:pStyle w:val="Style14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1" w:after="0"/>
        <w:ind w:left="293" w:right="0" w:hanging="178"/>
        <w:jc w:val="left"/>
        <w:rPr/>
      </w:pP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Методика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тестування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результатів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pacing w:val="-4"/>
          <w:sz w:val="24"/>
        </w:rPr>
        <w:t>Результати</w:t>
      </w:r>
      <w:r>
        <w:rPr>
          <w:b/>
          <w:bCs/>
          <w:color w:val="212121"/>
          <w:spacing w:val="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Відповідність</w:t>
      </w:r>
      <w:r>
        <w:rPr>
          <w:b/>
          <w:bCs/>
          <w:color w:val="212121"/>
          <w:spacing w:val="-6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поставленому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завданню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90" w:leader="none"/>
        </w:tabs>
        <w:bidi w:val="0"/>
        <w:spacing w:lineRule="auto" w:line="360" w:before="2" w:after="0"/>
        <w:ind w:left="115" w:right="2485" w:hanging="0"/>
        <w:jc w:val="left"/>
        <w:rPr/>
      </w:pPr>
      <w:r>
        <w:rPr>
          <w:b/>
          <w:bCs/>
          <w:color w:val="212121"/>
          <w:sz w:val="24"/>
        </w:rPr>
        <w:t>Демонстрація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функціональних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можливостей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розробленого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проекту </w:t>
      </w:r>
      <w:r>
        <w:rPr>
          <w:b/>
          <w:bCs/>
          <w:color w:val="212121"/>
          <w:spacing w:val="-2"/>
          <w:sz w:val="24"/>
        </w:rPr>
        <w:t>11.Висновки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2" w:after="0"/>
        <w:ind w:left="1355" w:right="0" w:hanging="529"/>
        <w:jc w:val="left"/>
        <w:rPr/>
      </w:pPr>
      <w:r>
        <w:rPr>
          <w:b/>
          <w:bCs/>
          <w:color w:val="212121"/>
          <w:spacing w:val="-2"/>
          <w:sz w:val="24"/>
        </w:rPr>
        <w:t>Основні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результати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Шляхи</w:t>
      </w:r>
      <w:r>
        <w:rPr>
          <w:b/>
          <w:bCs/>
          <w:color w:val="212121"/>
          <w:spacing w:val="-3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покращення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Перспективи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використання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276" w:after="0"/>
        <w:ind w:left="475" w:right="0" w:hanging="360"/>
        <w:jc w:val="left"/>
        <w:rPr/>
      </w:pPr>
      <w:r>
        <w:rPr>
          <w:b/>
          <w:bCs/>
          <w:sz w:val="24"/>
        </w:rPr>
        <w:t>Список</w:t>
      </w:r>
      <w:r>
        <w:rPr>
          <w:b/>
          <w:bCs/>
          <w:spacing w:val="-11"/>
          <w:sz w:val="24"/>
        </w:rPr>
        <w:t xml:space="preserve"> </w:t>
      </w:r>
      <w:r>
        <w:rPr>
          <w:b/>
          <w:bCs/>
          <w:sz w:val="24"/>
        </w:rPr>
        <w:t>використаних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джерел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b/>
          <w:bCs/>
          <w:spacing w:val="-4"/>
          <w:sz w:val="24"/>
        </w:rPr>
        <w:t>Додатки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i/>
          <w:spacing w:val="-4"/>
          <w:sz w:val="24"/>
        </w:rPr>
        <w:t>(за</w:t>
      </w:r>
      <w:r>
        <w:rPr>
          <w:b/>
          <w:bCs/>
          <w:i/>
          <w:spacing w:val="-8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ЗМІСТ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АНОТАЦІЯ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1.1 Теоретичні відомості.......................................................................................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1.1.1 Знайомство з IoT.....................................................................................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1.1.2 Концепція технології та підходи до її проектування..........................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1.2 Постановка завдання.......................................................................................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1.2.1 Що планується отримати в результаті виконання проекту.................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1.2.2 Аналіз аналогічних, чи близьких рішень.............................................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1.2.3 Вибір засобів та технологій для виконання проекту...........................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  <w:r>
        <w:rPr>
          <w:rFonts w:ascii="Times New Roman" w:hAnsi="Times New Roman"/>
          <w:b w:val="false"/>
          <w:bCs w:val="false"/>
          <w:sz w:val="28"/>
          <w:szCs w:val="28"/>
        </w:rPr>
        <w:t>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2.1.1 Розгляд модуля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ESP-01 для вирішення задач проекту........................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2.1.2 Побудова електричного кола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(схеми?)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2.2.1 Встановлення Arduino Cloud Agent.....................................................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2.2.2 Додавання пристрою та речі(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Thing?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 для його обробки у хмару......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2.2.3 Підключення пристрою та його прошивка(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2.2.4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 xml:space="preserve">3.2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 w:eastAsia="ja-JP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монстрація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СПИСОК ВИКОРИСТАНИХ ДЖЕРЕЛ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b w:val="false"/>
          <w:bCs w:val="false"/>
          <w:color w:val="000000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Розглядаючи сучасні тенденції у розвитку концепцій взаємодії мережевих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пристроїв, їх взаємної комунікації та практичного застосування, не складно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помітити актуальності розгляду концепції інтернету речей (IoT) та активного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розвитку як і підходів до проектування подібних систем і спектру технологій,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що при ньому використовуються, так й еволюції протоколів зв’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 xml:space="preserve">язку,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>забезпезпечують зв’язок між пристроями.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Відповідно до цього, метою даної роботи є всеосяжне знайомство з даною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концепцією, зокрема, на прикладі самостійної побудови простого пристрою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IoT та підключення його до хмарної системи Arduino Cloud, зрозуміти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технологію поетапного проектування схожих систем, акцентуючи увагу як і 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апаратній частині проекту, так і на етапі завантаження програмного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забезпечення на пристрій та його підключенні до мережі і дистанційної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взаємодії. Робота з даною платформою є доречною ще і з тих причин, що вона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надає широкий спектр інструментів для встановлення зв’язку та віддаленого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керування мережею пристроїв через функціонал бібліотек для мов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програмування Python та JavaScript, що дозволяє встановлювати зв’язок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Arduino Cloud навіть у тих проектах, де можливість такої взаємодії може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здатися неочевидною.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 Теоретичні відомості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1.1.1 Знайомство з IoT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Розглядаючи загальні основи даної технології та припускаючи, що дана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color w:val="C9211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робота є ознайомчою, вважатимемо доцільним виокремити основи даної концепції.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 xml:space="preserve">За узагальнюючим визначенням, запропонованим компанією Gartner, «IoT (Internet of Things) 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це мережа фізичних об'єктів, які мають вбудовані технології, що дозволяють здійснювати взаємодію з зовнішнім середовищем, передавати відомості про свій стан і приймати дані ззовні», яке вдало репрезентує суть концерції, адже засобами для взаємодії з мережею в даному випадку може бути буть-який, навіть буденний предмет, і те, які саме дані він буде передавати / одержувати, може обмежуватись лише поточними потребами та цілями проекту.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Зауважимо, що взаємодія між пристроями та мережею найчастіше обмежена різними об’єктивними факторами, які неможливо наперед передбачити (проблеми з підключенням пристрою, негаразди зі живленням, необхідність зміни програмного забезпечення тощо), відповідно до цього в концепції IoT окремо розділяють пристрій, як фізичний об’єкт, що не завжди може обмінюватись даними, та </w:t>
      </w: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річ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(Thing)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lang w:val="uk-UA" w:eastAsia="ja-JP"/>
        </w:rPr>
        <w:t>—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абстрактне представлення даного об’єкту в мережі, що відображає його стан та дані, якими він обмінюється. Дане розмежування досить вдало відображене у Arduino Cloud, де можна у зручному форматі ознайомитись з цією концепцією.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Також доповнимо зазначену інформацію рядом термінів, що часто використовуються у даному контексті та описують ключові елементи типової моделі інтернету речей: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Сенсори (датчики, сенсорні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призначені для збору інформації з навколишнього середовища або про стан об'єкта через вимірювання фізичних величин, як-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от</w:t>
      </w:r>
      <w:r>
        <w:rPr>
          <w:rFonts w:ascii="Times New Roman" w:hAnsi="Times New Roman"/>
          <w:color w:val="000000"/>
          <w:sz w:val="28"/>
          <w:szCs w:val="28"/>
        </w:rPr>
        <w:t xml:space="preserve"> температура, вологість тощо. Сенсори є джерелом даних для IoT-систем. 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Актуатори (виконавчі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виконують певні фізичні дії на основі отриманих команд із системи управління. Вони перетворюють сигнали від сенсорів або контролерів на фізичні дії, наприклад, включення світла, рух механізмів, запуск двигунів тощо. 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Контролери (пристрої управління)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забезпечують управління сенсорами та актуаторами, беручи на собі задачу здійсення первинн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обробки зібраних даних до передачі даних на сервер або хмару для подальшого аналізу. 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Концентратори (хаби)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що групують кілька IoT-пристроїв та забезпечують їх зручне підключення до основної мережі. Нерідко їх наявність може бути зумовлена відсутністю можливості у деяких </w:t>
      </w:r>
      <w:r>
        <w:rPr>
          <w:rFonts w:ascii="Times New Roman" w:hAnsi="Times New Roman"/>
          <w:color w:val="000000"/>
          <w:sz w:val="28"/>
          <w:szCs w:val="28"/>
          <w:lang w:eastAsia="ja-JP"/>
        </w:rPr>
        <w:t>IoT-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пристроїв здійснити безпосереднє підключення до мережі.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Хмарні платформи (сервери)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системи обробки, зберігання та аналізу великих обсягів даних, які збираються IoT-пристроями. Хмарні платформи задають бізнес-модель системи, дозволяють працювати безлічі пристроїв, як одне ціле.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1.1.2 Концепція технології та підходи до її проектування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А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налізуючи створення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відповідних систем IoT, стає очевидним, що, залежно від потреб конкретного проекту, підхід до її проектування може бути зовсім різний.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Одним з ключових аспектів, де з’являються відмінності, є те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, як саме взаємодіють пристрої IoT з мережею. Найчастіше, для них не передбачається значних обчислень, їх роль в даній системі часто обмежується лише одержанням даних та виконання певних дій в першу чергу на апаратному рівні, а для побудови моделі взаємодії всіх підключених до мережі пристроїв використовується серверна або хмарна інфраструктура. Такий підхід можна охарактеризувати як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х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марний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підхід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(«Cloud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Даний підхід, хоча і є в міру загальноприйнятим, але подеколи не може забезпечити необхідну швидкість обробки інформації і коректну роботу системи загалом. В такому разі застосовують периферійний підхід («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Edge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), де левова частка обробки зібраних даних відбувається безпосередньо на пристроях («переферія» мережі).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Розглядаючи проектування таких систем загалом, можна згадати про рівневий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ja-JP"/>
        </w:rPr>
        <w:t>(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«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Layered Architecture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 підхід, на який особливо слід звертати увагу при побудові масштабних багатопланових мереж пристроїв, адже при ньому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IoT-система поділяється на окремі рівні, кожен з яких виконує свою функцію в архітектурі. Зазвичай виділяють рівень сенсорів, рівень передачі даних, рівень обробки та рівень застосунків.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На фоні розглянутих аспектів проектування наявне ще одне питання, що не було порушено, та проте, яке має вирішальне значення у IoT-проектах, які виконують критичні задачі - фактор безпеки. Безпековий підхід (</w:t>
      </w:r>
      <w:r>
        <w:rPr>
          <w:rFonts w:eastAsia="Times New Roman" w:ascii="Times New Roman" w:hAnsi="Times New Roman"/>
          <w:b w:val="false"/>
          <w:bCs w:val="false"/>
          <w:i/>
          <w:iCs/>
          <w:sz w:val="28"/>
          <w:szCs w:val="28"/>
          <w:lang w:val="uk-UA" w:eastAsia="ja-JP"/>
        </w:rPr>
        <w:t>«Security-First»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),  при якому ключовими є </w:t>
      </w:r>
      <w:r>
        <w:rPr>
          <w:rFonts w:ascii="Times New Roman" w:hAnsi="Times New Roman"/>
          <w:sz w:val="28"/>
          <w:szCs w:val="28"/>
        </w:rPr>
        <w:t xml:space="preserve">використання криптографічних методів для захисту даних при передачі; підхід, </w:t>
      </w:r>
      <w:r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яко</w:t>
      </w:r>
      <w:r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на кожному шарі IoT-системи використовуються окремі механізми захисту (на апаратному, програмному та мережевому рівнях). </w:t>
      </w:r>
      <w:r>
        <w:rPr>
          <w:rFonts w:ascii="Times New Roman" w:hAnsi="Times New Roman"/>
          <w:color w:val="B85C00"/>
          <w:sz w:val="28"/>
          <w:szCs w:val="28"/>
          <w:lang w:val="uk-UA"/>
        </w:rPr>
        <w:t xml:space="preserve">Якщо не надати достатньої уваги даному аспекту, наслідки від несанкціонованого зовнішнього втручання у роботу системи можуть бути невідворотними.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Питання захисту даних при передачі в значній мірі залежить від використаного протоколу передачі даних та його безпекових можливостей.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Розуміючи суть вищеописаних підходів та комбінуючи їх в тих, чи інших IoT-проектах, ми зможемо побудувати мережу пристроїв згідно з наданими цілями та ресурсами.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  <w:t>СПИСОК ВИКОРИСТАНИХ ДЖЕРЕЛ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3"/>
        <w:gridCol w:w="6744"/>
      </w:tblGrid>
      <w:tr>
        <w:trPr/>
        <w:tc>
          <w:tcPr>
            <w:tcW w:w="28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Електронні ресурси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Internet of Things, IoT.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 https://www.it.ua/knowledge-base/technology-innovation/internet-veschej-internet-of-things-iot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IoT Platform Design Methodology: Top 5 Approaches,</w:t>
            </w:r>
          </w:p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https://minnovation.com.au/iot-platform/iot-platform-design-methodology-top-5-approaches/</w:t>
            </w:r>
          </w:p>
        </w:tc>
      </w:tr>
    </w:tbl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DINPro">
    <w:altName w:val="sans-serif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476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1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3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6" w:hanging="2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46" w:hanging="42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5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91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7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3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8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94" w:hanging="420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"/>
      <w:lvlJc w:val="left"/>
      <w:pPr>
        <w:tabs>
          <w:tab w:val="num" w:pos="0"/>
        </w:tabs>
        <w:ind w:left="1355" w:hanging="53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355" w:hanging="53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3057" w:hanging="53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5" w:hanging="53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54" w:hanging="53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03" w:hanging="53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1" w:hanging="53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0" w:hanging="53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8" w:hanging="53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4">
    <w:name w:val="Heading 4"/>
    <w:basedOn w:val="Style13"/>
    <w:next w:val="Style14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Character20style">
    <w:name w:val="Character_20_style"/>
    <w:qFormat/>
    <w:rPr/>
  </w:style>
  <w:style w:type="character" w:styleId="Style12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</TotalTime>
  <Application>LibreOffice/7.5.5.2$Windows_X86_64 LibreOffice_project/ca8fe7424262805f223b9a2334bc7181abbcbf5e</Application>
  <AppVersion>15.0000</AppVersion>
  <Pages>10</Pages>
  <Words>1245</Words>
  <Characters>10183</Characters>
  <CharactersWithSpaces>11378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2024-11-02T00:20:39Z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