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sz w:val="24"/>
        </w:rPr>
        <w:t>МІНІСТЕРСТВО ОСВІТИ І НАУКИ УКРАЇНИ</w:t>
      </w:r>
    </w:p>
    <w:p>
      <w:pPr>
        <w:spacing w:before="0" w:after="40"/>
        <w:jc w:val="center"/>
      </w:pPr>
      <w:r>
        <w:rPr>
          <w:rFonts w:ascii="Times New Roman" w:hAnsi="Times New Roman"/>
          <w:b/>
          <w:sz w:val="26"/>
        </w:rPr>
        <w:t>НАЦІОНАЛЬНИЙ УНІВЕРСИТЕТ «ЛЬВІВСЬКА ПОЛІТЕХНІКА»</w:t>
      </w:r>
    </w:p>
    <w:p>
      <w:pPr>
        <w:spacing w:before="0" w:after="1600"/>
        <w:jc w:val="center"/>
      </w:pPr>
      <w:r>
        <w:rPr>
          <w:rFonts w:ascii="Times New Roman" w:hAnsi="Times New Roman"/>
          <w:sz w:val="24"/>
        </w:rPr>
        <w:t>Кафедра «Системи автоматизованого проектування» (САПР)</w:t>
      </w:r>
    </w:p>
    <w:p>
      <w:pPr>
        <w:spacing w:before="0" w:after="240"/>
        <w:jc w:val="center"/>
      </w:pPr>
      <w:r>
        <w:rPr>
          <w:rFonts w:ascii="Times New Roman" w:hAnsi="Times New Roman"/>
          <w:b/>
          <w:color w:val="1B365D"/>
          <w:sz w:val="36"/>
        </w:rPr>
        <w:t>ЗВІТ</w:t>
        <w:br/>
        <w:t>до лабораторної роботи №5</w:t>
      </w:r>
    </w:p>
    <w:p>
      <w:pPr>
        <w:spacing w:before="0" w:after="160"/>
        <w:jc w:val="center"/>
      </w:pPr>
      <w:r>
        <w:rPr>
          <w:rFonts w:ascii="Times New Roman" w:hAnsi="Times New Roman"/>
          <w:sz w:val="26"/>
        </w:rPr>
        <w:t>з навчальної дисципліни «Операційні системи»</w:t>
        <w:br/>
        <w:t>на тему:</w:t>
      </w:r>
    </w:p>
    <w:p>
      <w:pPr>
        <w:spacing w:before="0" w:after="2000"/>
        <w:jc w:val="center"/>
      </w:pPr>
      <w:r>
        <w:rPr>
          <w:rFonts w:ascii="Times New Roman" w:hAnsi="Times New Roman"/>
          <w:b/>
          <w:sz w:val="30"/>
        </w:rPr>
        <w:t>«Робота з об'єктами Active Directory на платформі Windows Server»</w:t>
      </w:r>
    </w:p>
    <w:p>
      <w:pPr>
        <w:spacing w:line="288" w:lineRule="auto" w:after="2000"/>
        <w:jc w:val="right"/>
      </w:pPr>
      <w:r>
        <w:rPr>
          <w:rFonts w:ascii="Times New Roman" w:hAnsi="Times New Roman"/>
          <w:sz w:val="24"/>
        </w:rPr>
        <w:t>Виконав:</w:t>
        <w:br/>
      </w:r>
      <w:r>
        <w:rPr>
          <w:rFonts w:ascii="Times New Roman" w:hAnsi="Times New Roman"/>
          <w:b/>
          <w:sz w:val="24"/>
        </w:rPr>
        <w:t>студент групи ПП-14</w:t>
        <w:br/>
        <w:t>Лемішка Андрій</w:t>
        <w:br/>
        <w:br/>
      </w:r>
      <w:r>
        <w:rPr>
          <w:rFonts w:ascii="Times New Roman" w:hAnsi="Times New Roman"/>
          <w:sz w:val="24"/>
        </w:rPr>
        <w:t>Перевірив:</w:t>
        <w:br/>
      </w:r>
      <w:r>
        <w:rPr>
          <w:rFonts w:ascii="Times New Roman" w:hAnsi="Times New Roman"/>
          <w:b/>
          <w:sz w:val="24"/>
        </w:rPr>
        <w:t>викладач кафедри САПР</w:t>
        <w:br/>
        <w:t>Белей О. І.</w:t>
      </w:r>
    </w:p>
    <w:p>
      <w:pPr>
        <w:spacing w:before="800" w:after="0"/>
        <w:jc w:val="center"/>
      </w:pPr>
      <w:r>
        <w:rPr>
          <w:rFonts w:ascii="Times New Roman" w:hAnsi="Times New Roman"/>
          <w:b/>
          <w:sz w:val="24"/>
        </w:rPr>
        <w:t>Львів – 2026</w:t>
      </w:r>
    </w:p>
    <w:p>
      <w:r>
        <w:br w:type="page"/>
      </w:r>
    </w:p>
    <w:p>
      <w:pPr>
        <w:keepNext/>
        <w:spacing w:before="280" w:after="120"/>
      </w:pPr>
      <w:r>
        <w:rPr>
          <w:rFonts w:ascii="Times New Roman" w:hAnsi="Times New Roman"/>
          <w:b/>
          <w:color w:val="1B365D"/>
          <w:sz w:val="30"/>
        </w:rPr>
        <w:t>Лабораторна робота №5</w:t>
      </w:r>
    </w:p>
    <w:p>
      <w:pPr>
        <w:keepNext/>
        <w:spacing w:before="280" w:after="120"/>
      </w:pPr>
      <w:r>
        <w:rPr>
          <w:rFonts w:ascii="Times New Roman" w:hAnsi="Times New Roman"/>
          <w:b/>
          <w:color w:val="004B87"/>
          <w:sz w:val="27"/>
        </w:rPr>
        <w:t>Тема: Робота з об'єктами Active Directory на платформі Windows Server</w:t>
      </w:r>
    </w:p>
    <w:p>
      <w:pPr>
        <w:spacing w:line="276" w:lineRule="auto" w:after="120"/>
        <w:jc w:val="both"/>
      </w:pPr>
      <w:r>
        <w:rPr>
          <w:rFonts w:ascii="Times New Roman" w:hAnsi="Times New Roman"/>
          <w:b/>
          <w:color w:val="111111"/>
          <w:sz w:val="24"/>
        </w:rPr>
        <w:t xml:space="preserve">Мета роботи: </w:t>
      </w:r>
      <w:r>
        <w:rPr>
          <w:rFonts w:ascii="Times New Roman" w:hAnsi="Times New Roman"/>
          <w:color w:val="222222"/>
          <w:sz w:val="24"/>
        </w:rPr>
        <w:t>Ознайомитися з установкою контролера домену, DNS- та DHCP-серверів на платформі операційної системи Windows Server. Ознайомитися з налаштуванням профілів користувачів домену Windows Server. Вивчити способи завдання групових політик, види параметрів групових політик, об’єкти групових політик, навчитися задавати групові політики для різних об’єктів.</w:t>
      </w:r>
    </w:p>
    <w:p>
      <w:pPr>
        <w:spacing w:line="276" w:lineRule="auto" w:after="120"/>
        <w:jc w:val="both"/>
      </w:pPr>
      <w:r>
        <w:rPr>
          <w:rFonts w:ascii="Times New Roman" w:hAnsi="Times New Roman"/>
          <w:b/>
          <w:color w:val="111111"/>
          <w:sz w:val="24"/>
        </w:rPr>
        <w:t xml:space="preserve">Обладнання та програмне забезпечення: </w:t>
      </w:r>
      <w:r>
        <w:rPr>
          <w:rFonts w:ascii="Times New Roman" w:hAnsi="Times New Roman"/>
          <w:color w:val="222222"/>
          <w:sz w:val="24"/>
        </w:rPr>
        <w:t>1) Середовище віртуалізації Oracle VM VirtualBox 7.2;</w:t>
        <w:br/>
        <w:t>2) Серверна операційна система Microsoft Windows Server 2008 R2 Standard (контролер домену Server.office.com);</w:t>
        <w:br/>
        <w:t>3) Клієнтська операційна система Microsoft Windows 10 Pro (клієнтська станція);</w:t>
        <w:br/>
        <w:t>4) Системні компоненти та оснастки: Active Directory Domain Services (AD DS), DNS Server, DHCP Server, Active Directory Users and Computers (dsa.msc), Group Policy Management Console (gpmc.msc), Server Manager, Microsoft Management Console (mmc.exe).</w:t>
      </w:r>
    </w:p>
    <w:p>
      <w:pPr>
        <w:keepNext/>
        <w:spacing w:before="280" w:after="120"/>
      </w:pPr>
      <w:r>
        <w:rPr>
          <w:rFonts w:ascii="Times New Roman" w:hAnsi="Times New Roman"/>
          <w:b/>
          <w:color w:val="1B365D"/>
          <w:sz w:val="30"/>
        </w:rPr>
        <w:t>1. Теоретичні відомості</w:t>
      </w:r>
    </w:p>
    <w:p>
      <w:pPr>
        <w:keepNext/>
        <w:spacing w:before="280" w:after="120"/>
      </w:pPr>
      <w:r>
        <w:rPr>
          <w:rFonts w:ascii="Times New Roman" w:hAnsi="Times New Roman"/>
          <w:b/>
          <w:color w:val="004B87"/>
          <w:sz w:val="27"/>
        </w:rPr>
        <w:t>1.1. Архітектура та функціонування служби каталогів Active Directory (AD DS)</w:t>
      </w:r>
    </w:p>
    <w:p>
      <w:pPr>
        <w:spacing w:line="276" w:lineRule="auto" w:after="120"/>
        <w:jc w:val="both"/>
      </w:pPr>
      <w:r>
        <w:rPr>
          <w:rFonts w:ascii="Times New Roman" w:hAnsi="Times New Roman"/>
          <w:color w:val="222222"/>
          <w:sz w:val="24"/>
        </w:rPr>
        <w:t>Active Directory Domain Services (AD DS) — це розподілена масштабована служба каталогів компанії Microsoft, яка є фундаментом побудови корпоративних мереж на основі серверних платформ Windows Server. Active Directory реалізує підтримку стандартних мережевих протоколів, таких як LDAP (Lightweight Directory Access Protocol) для доступу та навігації по каталогу, Kerberos v5 для надійної захищеної взаємної автентифікації клієнтів і серверів, а також інтегровану службу доменних імен DNS (Domain Name System).</w:t>
      </w:r>
    </w:p>
    <w:p>
      <w:pPr>
        <w:spacing w:line="276" w:lineRule="auto" w:after="120"/>
        <w:jc w:val="both"/>
      </w:pPr>
      <w:r>
        <w:rPr>
          <w:rFonts w:ascii="Times New Roman" w:hAnsi="Times New Roman"/>
          <w:color w:val="222222"/>
          <w:sz w:val="24"/>
        </w:rPr>
        <w:t>Логічна ієрархія каталогу AD базується на наступних фундаментальних абстракціях:</w:t>
        <w:br/>
        <w:t>• Об'єкт (Object) — неподільний базовий іменований елемент каталогу, охарактеризований унікальним глобальним ідентифікатором GUID та набором атрибутів (наприклад, обліковий запис користувача, комп'ютер, група безпеки, мережева спільна папка або принтер).</w:t>
        <w:br/>
        <w:t>• Організаційний підрозділ (Organizational Unit, OU) — логічний контейнер вищого порядку всередині домену, який слугує для відображення організаційної структури підприємства (відділи, філії, служби). Підрозділи є базовими структурними одиницями для делегування адміністративних повноважень та прив'язки групових політик (GPO).</w:t>
        <w:br/>
        <w:t>• Домен (Domain) — ключова межа безпеки та централізованого адміністрування, що об'єднує комп'ютери та користувачів під управлінням спільної політики безпеки та єдиної бази даних каталогу NTDS.dit.</w:t>
        <w:br/>
        <w:t>• Дерево та Ліс (Tree &amp; Forest) — ієрархічне об'єднання одного або кількох доменів, що поділяють спільну схему каталогу (AD Schema), єдину конфігурацію лісу та глобальний каталог (Global Catalog, GC).</w:t>
      </w:r>
    </w:p>
    <w:p>
      <w:pPr>
        <w:keepNext/>
        <w:spacing w:before="280" w:after="120"/>
      </w:pPr>
      <w:r>
        <w:rPr>
          <w:rFonts w:ascii="Times New Roman" w:hAnsi="Times New Roman"/>
          <w:b/>
          <w:color w:val="004B87"/>
          <w:sz w:val="27"/>
        </w:rPr>
        <w:t>1.2. Механізм групових політик (Group Policy Objects, GPO)</w:t>
      </w:r>
    </w:p>
    <w:p>
      <w:pPr>
        <w:spacing w:line="276" w:lineRule="auto" w:after="120"/>
        <w:jc w:val="both"/>
      </w:pPr>
      <w:r>
        <w:rPr>
          <w:rFonts w:ascii="Times New Roman" w:hAnsi="Times New Roman"/>
          <w:color w:val="222222"/>
          <w:sz w:val="24"/>
        </w:rPr>
        <w:t>Групові політики (GPO) забезпечують централізовану конфігурацію робочого середовища користувачів та комп'ютерів. Кожен об'єкт GPO складається з двох взаємопов'язаних компонентів:</w:t>
        <w:br/>
        <w:t>1) Group Policy Container (GPC) — об'єкт каталогу Active Directory (клас groupPolicyContainer), що зберігає атрибути політики (версія, GUID, статус, розширення клієнтської сторони CSE);</w:t>
        <w:br/>
        <w:t>2) Group Policy Template (GPT) — каталог у файловій системі спільних ресурсів контролера домену (%SystemRoot%\SYSVOL\sysvol\&lt;domain&gt;\Policies\&lt;GUID&gt;), що містить реальні файли налаштувань, бінарні файли реєстру Registry.pol, адміністративні шаблони ADMX/ADML, безпекові дескриптори та стартові скрипти.</w:t>
      </w:r>
    </w:p>
    <w:p>
      <w:pPr>
        <w:spacing w:line="276" w:lineRule="auto" w:after="120"/>
        <w:jc w:val="both"/>
      </w:pPr>
      <w:r>
        <w:rPr>
          <w:rFonts w:ascii="Times New Roman" w:hAnsi="Times New Roman"/>
          <w:color w:val="222222"/>
          <w:sz w:val="24"/>
        </w:rPr>
        <w:t>Застосування групових політик здійснюється клієнтськими комп'ютерами у суворій послідовності за правилом LSDOU:</w:t>
        <w:br/>
        <w:t>1. Local — локальна політика безпеки даного комп'ютера;</w:t>
        <w:br/>
        <w:t>2. Site — групова політика сайту Active Directory;</w:t>
        <w:br/>
        <w:t>3. Domain — загальнодоменні групові політики (Default Domain Policy);</w:t>
        <w:br/>
        <w:t>4. OU (Organizational Unit) — групові політики організаційних підрозділів, які обробляються від кореневих підрозділів до вкладених.</w:t>
      </w:r>
    </w:p>
    <w:p>
      <w:pPr>
        <w:keepNext/>
        <w:spacing w:before="280" w:after="120"/>
      </w:pPr>
      <w:r>
        <w:rPr>
          <w:rFonts w:ascii="Times New Roman" w:hAnsi="Times New Roman"/>
          <w:b/>
          <w:color w:val="004B87"/>
          <w:sz w:val="27"/>
        </w:rPr>
        <w:t>1.3. Класифікація облікових записів та профілів користувачів</w:t>
      </w:r>
    </w:p>
    <w:p>
      <w:pPr>
        <w:spacing w:line="276" w:lineRule="auto" w:after="120"/>
        <w:jc w:val="both"/>
      </w:pPr>
      <w:r>
        <w:rPr>
          <w:rFonts w:ascii="Times New Roman" w:hAnsi="Times New Roman"/>
          <w:color w:val="222222"/>
          <w:sz w:val="24"/>
        </w:rPr>
        <w:t>В операційних системах Windows реалізовано чітке розмежування облікових записів на локальні (зберігаються виключно в базі даних SAM локального комп'ютера %SystemRoot%\System32\config\SAM) та доменні (централізовано розміщені в сховищі NTDS.dit контролера домену). Профілі користувача поділяються на три основні категорії:</w:t>
        <w:br/>
        <w:t>• Локальний профіль (Local Profile) — створюється на локальному диску робочої станції під час першого входу (C:\Users\&lt;Username&gt;);</w:t>
        <w:br/>
        <w:t>• Переміщуваний профіль (Roaming Profile) — зберігається на централізованому файловому сервері (\\server\Profiles\%username%). При вході користувача профіль синхронізується на локальну робочу станцію, а при виході — всі зміни переносяться назад на сервер;</w:t>
        <w:br/>
        <w:t>• Обов'язковий профіль (Mandatory Profile) — модифікація переміщуваного профілю, у якому системний файл куща реєстру користувача Ntuser.dat перейменовано на Ntuser.man. При цьому користувач має право модифікувати параметри робочого середовища лише протягом поточного сеансу — під час завершення роботи будь-які зміни анулюються.</w:t>
      </w:r>
    </w:p>
    <w:p>
      <w:pPr>
        <w:keepNext/>
        <w:spacing w:before="280" w:after="120"/>
      </w:pPr>
      <w:r>
        <w:rPr>
          <w:rFonts w:ascii="Times New Roman" w:hAnsi="Times New Roman"/>
          <w:b/>
          <w:color w:val="1B365D"/>
          <w:sz w:val="30"/>
        </w:rPr>
        <w:t>2. Хід виконання роботи</w:t>
      </w:r>
    </w:p>
    <w:p>
      <w:pPr>
        <w:keepNext/>
        <w:spacing w:before="280" w:after="120"/>
      </w:pPr>
      <w:r>
        <w:rPr>
          <w:rFonts w:ascii="Times New Roman" w:hAnsi="Times New Roman"/>
          <w:b/>
          <w:color w:val="004B87"/>
          <w:sz w:val="27"/>
        </w:rPr>
        <w:t>Завдання 1. Розгортання контролера домену, DNS- та DHCP-серверів</w:t>
      </w:r>
    </w:p>
    <w:p>
      <w:pPr>
        <w:spacing w:line="276" w:lineRule="auto" w:after="120"/>
        <w:jc w:val="both"/>
      </w:pPr>
      <w:r>
        <w:rPr>
          <w:rFonts w:ascii="Times New Roman" w:hAnsi="Times New Roman"/>
          <w:color w:val="222222"/>
          <w:sz w:val="24"/>
        </w:rPr>
        <w:t>1.1. Базове мережеве налаштування сервера. Для забезпечення коректного функціонування доменних служб та DNS-сервера мережевий адаптер серверної машини Windows Server 2008 R2 налаштовано на статичні мережеві параметри: IP-адреса 192.168.1.5, маска підмережі 255.255.255.0, основний шлюз 192.168.1.4, DNS-сервер 192.168.1.5 (вказує на себе). Ім'я комп'ютера задано як Server.</w:t>
      </w:r>
    </w:p>
    <w:p>
      <w:pPr>
        <w:keepNext/>
        <w:spacing w:before="160" w:after="60"/>
        <w:jc w:val="center"/>
      </w:pPr>
      <w:r>
        <w:drawing>
          <wp:inline xmlns:a="http://schemas.openxmlformats.org/drawingml/2006/main" xmlns:pic="http://schemas.openxmlformats.org/drawingml/2006/picture">
            <wp:extent cx="5212080" cy="3909060"/>
            <wp:docPr id="1" name="Picture 1"/>
            <wp:cNvGraphicFramePr>
              <a:graphicFrameLocks noChangeAspect="1"/>
            </wp:cNvGraphicFramePr>
            <a:graphic>
              <a:graphicData uri="http://schemas.openxmlformats.org/drawingml/2006/picture">
                <pic:pic>
                  <pic:nvPicPr>
                    <pic:cNvPr id="0" name="screenshot_step1_net_connections.png"/>
                    <pic:cNvPicPr/>
                  </pic:nvPicPr>
                  <pic:blipFill>
                    <a:blip r:embed="rId9"/>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1. Графічне налаштування статичної IP-адреси та DNS сервера Windows Server 2008 R2</w:t>
      </w:r>
    </w:p>
    <w:p>
      <w:pPr>
        <w:spacing w:line="276" w:lineRule="auto" w:after="120"/>
        <w:jc w:val="both"/>
      </w:pPr>
      <w:r>
        <w:rPr>
          <w:rFonts w:ascii="Times New Roman" w:hAnsi="Times New Roman"/>
          <w:color w:val="222222"/>
          <w:sz w:val="24"/>
        </w:rPr>
        <w:t>1.2. Встановлення ролі Active Directory Domain Services. Через інтерфейс диспетчера сервера (Server Manager) активовано Майстер додавання ролей (Add Roles Wizard), у списку вибрано роль «Active Directory Domain Services» з автоматичним підтвердженням необхідних системних компонентів .NET Framework.</w:t>
      </w:r>
    </w:p>
    <w:p>
      <w:pPr>
        <w:keepNext/>
        <w:spacing w:before="160" w:after="60"/>
        <w:jc w:val="center"/>
      </w:pPr>
      <w:r>
        <w:drawing>
          <wp:inline xmlns:a="http://schemas.openxmlformats.org/drawingml/2006/main" xmlns:pic="http://schemas.openxmlformats.org/drawingml/2006/picture">
            <wp:extent cx="5212080" cy="3909060"/>
            <wp:docPr id="2" name="Picture 2"/>
            <wp:cNvGraphicFramePr>
              <a:graphicFrameLocks noChangeAspect="1"/>
            </wp:cNvGraphicFramePr>
            <a:graphic>
              <a:graphicData uri="http://schemas.openxmlformats.org/drawingml/2006/picture">
                <pic:pic>
                  <pic:nvPicPr>
                    <pic:cNvPr id="0" name="screenshot_step2_server_manager.png"/>
                    <pic:cNvPicPr/>
                  </pic:nvPicPr>
                  <pic:blipFill>
                    <a:blip r:embed="rId10"/>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2. Головне вікно диспетчера сервера (Server Manager)</w:t>
      </w:r>
    </w:p>
    <w:p>
      <w:pPr>
        <w:keepNext/>
        <w:spacing w:before="160" w:after="60"/>
        <w:jc w:val="center"/>
      </w:pPr>
      <w:r>
        <w:drawing>
          <wp:inline xmlns:a="http://schemas.openxmlformats.org/drawingml/2006/main" xmlns:pic="http://schemas.openxmlformats.org/drawingml/2006/picture">
            <wp:extent cx="5212080" cy="3909060"/>
            <wp:docPr id="3" name="Picture 3"/>
            <wp:cNvGraphicFramePr>
              <a:graphicFrameLocks noChangeAspect="1"/>
            </wp:cNvGraphicFramePr>
            <a:graphic>
              <a:graphicData uri="http://schemas.openxmlformats.org/drawingml/2006/picture">
                <pic:pic>
                  <pic:nvPicPr>
                    <pic:cNvPr id="0" name="screenshot_step5_roles_select_adds.png"/>
                    <pic:cNvPicPr/>
                  </pic:nvPicPr>
                  <pic:blipFill>
                    <a:blip r:embed="rId11"/>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3. Вибір ролі «Active Directory Domain Services» у Майстрі ролей</w:t>
      </w:r>
    </w:p>
    <w:p>
      <w:pPr>
        <w:keepNext/>
        <w:spacing w:before="160" w:after="60"/>
        <w:jc w:val="center"/>
      </w:pPr>
      <w:r>
        <w:drawing>
          <wp:inline xmlns:a="http://schemas.openxmlformats.org/drawingml/2006/main" xmlns:pic="http://schemas.openxmlformats.org/drawingml/2006/picture">
            <wp:extent cx="5212080" cy="3909060"/>
            <wp:docPr id="4" name="Picture 4"/>
            <wp:cNvGraphicFramePr>
              <a:graphicFrameLocks noChangeAspect="1"/>
            </wp:cNvGraphicFramePr>
            <a:graphic>
              <a:graphicData uri="http://schemas.openxmlformats.org/drawingml/2006/picture">
                <pic:pic>
                  <pic:nvPicPr>
                    <pic:cNvPr id="0" name="screenshot_step11_install_results.png"/>
                    <pic:cNvPicPr/>
                  </pic:nvPicPr>
                  <pic:blipFill>
                    <a:blip r:embed="rId12"/>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4. Успішне завершення встановлення бінарних компонентів AD DS</w:t>
      </w:r>
    </w:p>
    <w:p>
      <w:pPr>
        <w:spacing w:line="276" w:lineRule="auto" w:after="120"/>
        <w:jc w:val="both"/>
      </w:pPr>
      <w:r>
        <w:rPr>
          <w:rFonts w:ascii="Times New Roman" w:hAnsi="Times New Roman"/>
          <w:color w:val="222222"/>
          <w:sz w:val="24"/>
        </w:rPr>
        <w:t>1.3. Підвищення ролі до контролера домену (DCPromo). Запущено майстер dcpromo.exe. Обрано конфігурацію «Створити новий домен у новому лісі» (Create a new domain in a new forest). Задано кореневе ім'я лісу office.com, функціональний рівень лісу та домену встановлено на рівень Windows Server 2008 R2, активовано інтеграцію служби DNS, вказано шляхи до бази даних NTDS (%SystemRoot%\NTDS) та журналу SYSVOL (%SystemRoot%\SYSVOL), задано надійний пароль режиму відновлення служб каталогів DSRM (Pa$$word).</w:t>
      </w:r>
    </w:p>
    <w:p>
      <w:pPr>
        <w:keepNext/>
        <w:spacing w:before="160" w:after="60"/>
        <w:jc w:val="center"/>
      </w:pPr>
      <w:r>
        <w:drawing>
          <wp:inline xmlns:a="http://schemas.openxmlformats.org/drawingml/2006/main" xmlns:pic="http://schemas.openxmlformats.org/drawingml/2006/picture">
            <wp:extent cx="5212080" cy="3909060"/>
            <wp:docPr id="5" name="Picture 5"/>
            <wp:cNvGraphicFramePr>
              <a:graphicFrameLocks noChangeAspect="1"/>
            </wp:cNvGraphicFramePr>
            <a:graphic>
              <a:graphicData uri="http://schemas.openxmlformats.org/drawingml/2006/picture">
                <pic:pic>
                  <pic:nvPicPr>
                    <pic:cNvPr id="0" name="screenshot_step14_dcpromo_new_forest.png"/>
                    <pic:cNvPicPr/>
                  </pic:nvPicPr>
                  <pic:blipFill>
                    <a:blip r:embed="rId13"/>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5. Вибір створення нового домену в новому лісі Active Directory</w:t>
      </w:r>
    </w:p>
    <w:p>
      <w:pPr>
        <w:keepNext/>
        <w:spacing w:before="160" w:after="60"/>
        <w:jc w:val="center"/>
      </w:pPr>
      <w:r>
        <w:drawing>
          <wp:inline xmlns:a="http://schemas.openxmlformats.org/drawingml/2006/main" xmlns:pic="http://schemas.openxmlformats.org/drawingml/2006/picture">
            <wp:extent cx="5212080" cy="3909060"/>
            <wp:docPr id="6" name="Picture 6"/>
            <wp:cNvGraphicFramePr>
              <a:graphicFrameLocks noChangeAspect="1"/>
            </wp:cNvGraphicFramePr>
            <a:graphic>
              <a:graphicData uri="http://schemas.openxmlformats.org/drawingml/2006/picture">
                <pic:pic>
                  <pic:nvPicPr>
                    <pic:cNvPr id="0" name="screenshot_step16_dcpromo_fqdn_office.png"/>
                    <pic:cNvPicPr/>
                  </pic:nvPicPr>
                  <pic:blipFill>
                    <a:blip r:embed="rId14"/>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6. Введення повного доменного імені кореневого домену office.com</w:t>
      </w:r>
    </w:p>
    <w:p>
      <w:pPr>
        <w:keepNext/>
        <w:spacing w:before="160" w:after="60"/>
        <w:jc w:val="center"/>
      </w:pPr>
      <w:r>
        <w:drawing>
          <wp:inline xmlns:a="http://schemas.openxmlformats.org/drawingml/2006/main" xmlns:pic="http://schemas.openxmlformats.org/drawingml/2006/picture">
            <wp:extent cx="5212080" cy="3909060"/>
            <wp:docPr id="7" name="Picture 7"/>
            <wp:cNvGraphicFramePr>
              <a:graphicFrameLocks noChangeAspect="1"/>
            </wp:cNvGraphicFramePr>
            <a:graphic>
              <a:graphicData uri="http://schemas.openxmlformats.org/drawingml/2006/picture">
                <pic:pic>
                  <pic:nvPicPr>
                    <pic:cNvPr id="0" name="screenshot_step17_dcpromo_functional_level.png"/>
                    <pic:cNvPicPr/>
                  </pic:nvPicPr>
                  <pic:blipFill>
                    <a:blip r:embed="rId15"/>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7. Встановлення функціонального рівня лісу Windows Server 2008 R2</w:t>
      </w:r>
    </w:p>
    <w:p>
      <w:pPr>
        <w:keepNext/>
        <w:spacing w:before="160" w:after="60"/>
        <w:jc w:val="center"/>
      </w:pPr>
      <w:r>
        <w:drawing>
          <wp:inline xmlns:a="http://schemas.openxmlformats.org/drawingml/2006/main" xmlns:pic="http://schemas.openxmlformats.org/drawingml/2006/picture">
            <wp:extent cx="5212080" cy="3909060"/>
            <wp:docPr id="8" name="Picture 8"/>
            <wp:cNvGraphicFramePr>
              <a:graphicFrameLocks noChangeAspect="1"/>
            </wp:cNvGraphicFramePr>
            <a:graphic>
              <a:graphicData uri="http://schemas.openxmlformats.org/drawingml/2006/picture">
                <pic:pic>
                  <pic:nvPicPr>
                    <pic:cNvPr id="0" name="screenshot_step22_dcpromo_summary.png"/>
                    <pic:cNvPicPr/>
                  </pic:nvPicPr>
                  <pic:blipFill>
                    <a:blip r:embed="rId16"/>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8. Підсумкова конфігурація майстра розгортання Active Directory</w:t>
      </w:r>
    </w:p>
    <w:p>
      <w:pPr>
        <w:keepNext/>
        <w:spacing w:before="160" w:after="60"/>
        <w:jc w:val="center"/>
      </w:pPr>
      <w:r>
        <w:drawing>
          <wp:inline xmlns:a="http://schemas.openxmlformats.org/drawingml/2006/main" xmlns:pic="http://schemas.openxmlformats.org/drawingml/2006/picture">
            <wp:extent cx="5212080" cy="3909060"/>
            <wp:docPr id="9" name="Picture 9"/>
            <wp:cNvGraphicFramePr>
              <a:graphicFrameLocks noChangeAspect="1"/>
            </wp:cNvGraphicFramePr>
            <a:graphic>
              <a:graphicData uri="http://schemas.openxmlformats.org/drawingml/2006/picture">
                <pic:pic>
                  <pic:nvPicPr>
                    <pic:cNvPr id="0" name="screenshot_step25_dc_configured_summary.png"/>
                    <pic:cNvPicPr/>
                  </pic:nvPicPr>
                  <pic:blipFill>
                    <a:blip r:embed="rId17"/>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9. Завершення налаштування контролера домену Server.office.com</w:t>
      </w:r>
    </w:p>
    <w:p>
      <w:pPr>
        <w:spacing w:line="276" w:lineRule="auto" w:after="120"/>
        <w:jc w:val="both"/>
      </w:pPr>
      <w:r>
        <w:rPr>
          <w:rFonts w:ascii="Times New Roman" w:hAnsi="Times New Roman"/>
          <w:color w:val="222222"/>
          <w:sz w:val="24"/>
        </w:rPr>
        <w:t>1.4. Налаштування DHCP-сервера. Додано роль DHCP Server через Server Manager. В оснастці dhcpmgmt.msc авторизовано сервер Server.office.com у каталозі Active Directory. Створено нову область «Офіс» відповідно до параметрів варіанту, наведено у Таблиці 1.</w:t>
      </w:r>
    </w:p>
    <w:p>
      <w:pPr>
        <w:spacing w:after="40"/>
      </w:pPr>
    </w:p>
    <w:p>
      <w:pPr>
        <w:keepNext/>
      </w:pPr>
      <w:r>
        <w:rPr>
          <w:rFonts w:ascii="Times New Roman" w:hAnsi="Times New Roman"/>
          <w:b/>
          <w:sz w:val="22"/>
        </w:rPr>
        <w:t>Таблиця 1. Параметри конфігурації області DHCP-сервера</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4" w:space="0" w:color="D0D7DE"/>
          <w:insideV w:val="none"/>
        </w:tblBorders>
      </w:tblPr>
      <w:tblGrid>
        <w:gridCol w:w="3326"/>
        <w:gridCol w:w="3326"/>
        <w:gridCol w:w="3326"/>
      </w:tblGrid>
      <w:tr>
        <w:tc>
          <w:tcPr>
            <w:tcW w:type="dxa" w:w="864"/>
            <w:shd w:fill="1B365D"/>
            <w:vAlign w:val="center"/>
            <w:tcMar>
              <w:top w:w="100" w:type="dxa"/>
              <w:bottom w:w="100" w:type="dxa"/>
              <w:left w:w="140" w:type="dxa"/>
              <w:right w:w="140" w:type="dxa"/>
            </w:tcMar>
          </w:tcPr>
          <w:p>
            <w:pPr>
              <w:spacing w:before="0" w:after="0" w:line="276" w:lineRule="auto"/>
              <w:jc w:val="center"/>
            </w:pPr>
            <w:r>
              <w:rPr>
                <w:rFonts w:ascii="Times New Roman" w:hAnsi="Times New Roman"/>
                <w:b/>
                <w:i w:val="0"/>
                <w:color w:val="FFFFFF"/>
                <w:sz w:val="21"/>
              </w:rPr>
              <w:t>№</w:t>
            </w:r>
          </w:p>
        </w:tc>
        <w:tc>
          <w:tcPr>
            <w:tcW w:type="dxa" w:w="4032"/>
            <w:shd w:fill="1B365D"/>
            <w:vAlign w:val="center"/>
            <w:tcMar>
              <w:top w:w="100" w:type="dxa"/>
              <w:bottom w:w="100" w:type="dxa"/>
              <w:left w:w="140" w:type="dxa"/>
              <w:right w:w="140" w:type="dxa"/>
            </w:tcMar>
          </w:tcPr>
          <w:p>
            <w:pPr>
              <w:spacing w:before="0" w:after="0" w:line="276" w:lineRule="auto"/>
              <w:jc w:val="center"/>
            </w:pPr>
            <w:r>
              <w:rPr>
                <w:rFonts w:ascii="Times New Roman" w:hAnsi="Times New Roman"/>
                <w:b/>
                <w:i w:val="0"/>
                <w:color w:val="FFFFFF"/>
                <w:sz w:val="21"/>
              </w:rPr>
              <w:t>Параметр налаштування</w:t>
            </w:r>
          </w:p>
        </w:tc>
        <w:tc>
          <w:tcPr>
            <w:tcW w:type="dxa" w:w="3744"/>
            <w:shd w:fill="1B365D"/>
            <w:vAlign w:val="center"/>
            <w:tcMar>
              <w:top w:w="100" w:type="dxa"/>
              <w:bottom w:w="100" w:type="dxa"/>
              <w:left w:w="140" w:type="dxa"/>
              <w:right w:w="140" w:type="dxa"/>
            </w:tcMar>
          </w:tcPr>
          <w:p>
            <w:pPr>
              <w:spacing w:before="0" w:after="0" w:line="276" w:lineRule="auto"/>
              <w:jc w:val="center"/>
            </w:pPr>
            <w:r>
              <w:rPr>
                <w:rFonts w:ascii="Times New Roman" w:hAnsi="Times New Roman"/>
                <w:b/>
                <w:i w:val="0"/>
                <w:color w:val="FFFFFF"/>
                <w:sz w:val="21"/>
              </w:rPr>
              <w:t>Значення конфігурації</w:t>
            </w:r>
          </w:p>
        </w:tc>
      </w:tr>
      <w:tr>
        <w:tc>
          <w:tcPr>
            <w:tcW w:type="dxa" w:w="864"/>
            <w:shd w:fill="F9FBFD"/>
            <w:vAlign w:val="center"/>
            <w:tcMar>
              <w:top w:w="100" w:type="dxa"/>
              <w:bottom w:w="100" w:type="dxa"/>
              <w:left w:w="140" w:type="dxa"/>
              <w:right w:w="140" w:type="dxa"/>
            </w:tcMar>
          </w:tcPr>
          <w:p>
            <w:pPr>
              <w:spacing w:before="0" w:after="0" w:line="276" w:lineRule="auto"/>
              <w:jc w:val="center"/>
            </w:pPr>
            <w:r>
              <w:rPr>
                <w:rFonts w:ascii="Times New Roman" w:hAnsi="Times New Roman"/>
                <w:b w:val="0"/>
                <w:i w:val="0"/>
                <w:color w:val="222222"/>
                <w:sz w:val="20"/>
              </w:rPr>
              <w:t>1</w:t>
            </w:r>
          </w:p>
        </w:tc>
        <w:tc>
          <w:tcPr>
            <w:tcW w:type="dxa" w:w="4032"/>
            <w:shd w:fill="F9FBFD"/>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Назва області DHCP (Scope Name)</w:t>
            </w:r>
          </w:p>
        </w:tc>
        <w:tc>
          <w:tcPr>
            <w:tcW w:type="dxa" w:w="3744"/>
            <w:shd w:fill="F9FBFD"/>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Офіс</w:t>
            </w:r>
          </w:p>
        </w:tc>
      </w:tr>
      <w:tr>
        <w:tc>
          <w:tcPr>
            <w:tcW w:type="dxa" w:w="864"/>
            <w:shd w:fill="FFFFFF"/>
            <w:vAlign w:val="center"/>
            <w:tcMar>
              <w:top w:w="100" w:type="dxa"/>
              <w:bottom w:w="100" w:type="dxa"/>
              <w:left w:w="140" w:type="dxa"/>
              <w:right w:w="140" w:type="dxa"/>
            </w:tcMar>
          </w:tcPr>
          <w:p>
            <w:pPr>
              <w:spacing w:before="0" w:after="0" w:line="276" w:lineRule="auto"/>
              <w:jc w:val="center"/>
            </w:pPr>
            <w:r>
              <w:rPr>
                <w:rFonts w:ascii="Times New Roman" w:hAnsi="Times New Roman"/>
                <w:b w:val="0"/>
                <w:i w:val="0"/>
                <w:color w:val="222222"/>
                <w:sz w:val="20"/>
              </w:rPr>
              <w:t>2</w:t>
            </w:r>
          </w:p>
        </w:tc>
        <w:tc>
          <w:tcPr>
            <w:tcW w:type="dxa" w:w="4032"/>
            <w:shd w:fill="FFFFFF"/>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Діапазон адрес пулу (Address Pool)</w:t>
            </w:r>
          </w:p>
        </w:tc>
        <w:tc>
          <w:tcPr>
            <w:tcW w:type="dxa" w:w="3744"/>
            <w:shd w:fill="FFFFFF"/>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192.168.1.1 — 192.168.1.200 (маска /24)</w:t>
            </w:r>
          </w:p>
        </w:tc>
      </w:tr>
      <w:tr>
        <w:tc>
          <w:tcPr>
            <w:tcW w:type="dxa" w:w="864"/>
            <w:shd w:fill="F9FBFD"/>
            <w:vAlign w:val="center"/>
            <w:tcMar>
              <w:top w:w="100" w:type="dxa"/>
              <w:bottom w:w="100" w:type="dxa"/>
              <w:left w:w="140" w:type="dxa"/>
              <w:right w:w="140" w:type="dxa"/>
            </w:tcMar>
          </w:tcPr>
          <w:p>
            <w:pPr>
              <w:spacing w:before="0" w:after="0" w:line="276" w:lineRule="auto"/>
              <w:jc w:val="center"/>
            </w:pPr>
            <w:r>
              <w:rPr>
                <w:rFonts w:ascii="Times New Roman" w:hAnsi="Times New Roman"/>
                <w:b w:val="0"/>
                <w:i w:val="0"/>
                <w:color w:val="222222"/>
                <w:sz w:val="20"/>
              </w:rPr>
              <w:t>3</w:t>
            </w:r>
          </w:p>
        </w:tc>
        <w:tc>
          <w:tcPr>
            <w:tcW w:type="dxa" w:w="4032"/>
            <w:shd w:fill="F9FBFD"/>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Діапазон виключення (Exclusions)</w:t>
            </w:r>
          </w:p>
        </w:tc>
        <w:tc>
          <w:tcPr>
            <w:tcW w:type="dxa" w:w="3744"/>
            <w:shd w:fill="F9FBFD"/>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192.168.1.150 — 192.168.1.170</w:t>
            </w:r>
          </w:p>
        </w:tc>
      </w:tr>
      <w:tr>
        <w:tc>
          <w:tcPr>
            <w:tcW w:type="dxa" w:w="864"/>
            <w:shd w:fill="FFFFFF"/>
            <w:vAlign w:val="center"/>
            <w:tcMar>
              <w:top w:w="100" w:type="dxa"/>
              <w:bottom w:w="100" w:type="dxa"/>
              <w:left w:w="140" w:type="dxa"/>
              <w:right w:w="140" w:type="dxa"/>
            </w:tcMar>
          </w:tcPr>
          <w:p>
            <w:pPr>
              <w:spacing w:before="0" w:after="0" w:line="276" w:lineRule="auto"/>
              <w:jc w:val="center"/>
            </w:pPr>
            <w:r>
              <w:rPr>
                <w:rFonts w:ascii="Times New Roman" w:hAnsi="Times New Roman"/>
                <w:b w:val="0"/>
                <w:i w:val="0"/>
                <w:color w:val="222222"/>
                <w:sz w:val="20"/>
              </w:rPr>
              <w:t>4</w:t>
            </w:r>
          </w:p>
        </w:tc>
        <w:tc>
          <w:tcPr>
            <w:tcW w:type="dxa" w:w="4032"/>
            <w:shd w:fill="FFFFFF"/>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Окремі виключені адреси</w:t>
            </w:r>
          </w:p>
        </w:tc>
        <w:tc>
          <w:tcPr>
            <w:tcW w:type="dxa" w:w="3744"/>
            <w:shd w:fill="FFFFFF"/>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192.168.1.1 — 192.168.1.10 (включаючи 192.168.1.2, 192.168.1.3, 192.168.1.5)</w:t>
            </w:r>
          </w:p>
        </w:tc>
      </w:tr>
      <w:tr>
        <w:tc>
          <w:tcPr>
            <w:tcW w:type="dxa" w:w="864"/>
            <w:shd w:fill="F9FBFD"/>
            <w:vAlign w:val="center"/>
            <w:tcMar>
              <w:top w:w="100" w:type="dxa"/>
              <w:bottom w:w="100" w:type="dxa"/>
              <w:left w:w="140" w:type="dxa"/>
              <w:right w:w="140" w:type="dxa"/>
            </w:tcMar>
          </w:tcPr>
          <w:p>
            <w:pPr>
              <w:spacing w:before="0" w:after="0" w:line="276" w:lineRule="auto"/>
              <w:jc w:val="center"/>
            </w:pPr>
            <w:r>
              <w:rPr>
                <w:rFonts w:ascii="Times New Roman" w:hAnsi="Times New Roman"/>
                <w:b w:val="0"/>
                <w:i w:val="0"/>
                <w:color w:val="222222"/>
                <w:sz w:val="20"/>
              </w:rPr>
              <w:t>5</w:t>
            </w:r>
          </w:p>
        </w:tc>
        <w:tc>
          <w:tcPr>
            <w:tcW w:type="dxa" w:w="4032"/>
            <w:shd w:fill="F9FBFD"/>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Тривалість оренди (Lease Duration)</w:t>
            </w:r>
          </w:p>
        </w:tc>
        <w:tc>
          <w:tcPr>
            <w:tcW w:type="dxa" w:w="3744"/>
            <w:shd w:fill="F9FBFD"/>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8 днів</w:t>
            </w:r>
          </w:p>
        </w:tc>
      </w:tr>
      <w:tr>
        <w:tc>
          <w:tcPr>
            <w:tcW w:type="dxa" w:w="864"/>
            <w:shd w:fill="FFFFFF"/>
            <w:vAlign w:val="center"/>
            <w:tcMar>
              <w:top w:w="100" w:type="dxa"/>
              <w:bottom w:w="100" w:type="dxa"/>
              <w:left w:w="140" w:type="dxa"/>
              <w:right w:w="140" w:type="dxa"/>
            </w:tcMar>
          </w:tcPr>
          <w:p>
            <w:pPr>
              <w:spacing w:before="0" w:after="0" w:line="276" w:lineRule="auto"/>
              <w:jc w:val="center"/>
            </w:pPr>
            <w:r>
              <w:rPr>
                <w:rFonts w:ascii="Times New Roman" w:hAnsi="Times New Roman"/>
                <w:b w:val="0"/>
                <w:i w:val="0"/>
                <w:color w:val="222222"/>
                <w:sz w:val="20"/>
              </w:rPr>
              <w:t>6</w:t>
            </w:r>
          </w:p>
        </w:tc>
        <w:tc>
          <w:tcPr>
            <w:tcW w:type="dxa" w:w="4032"/>
            <w:shd w:fill="FFFFFF"/>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Шлюз за замовчуванням (Option 003 Router)</w:t>
            </w:r>
          </w:p>
        </w:tc>
        <w:tc>
          <w:tcPr>
            <w:tcW w:type="dxa" w:w="3744"/>
            <w:shd w:fill="FFFFFF"/>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192.168.1.4</w:t>
            </w:r>
          </w:p>
        </w:tc>
      </w:tr>
      <w:tr>
        <w:tc>
          <w:tcPr>
            <w:tcW w:type="dxa" w:w="864"/>
            <w:shd w:fill="F9FBFD"/>
            <w:vAlign w:val="center"/>
            <w:tcMar>
              <w:top w:w="100" w:type="dxa"/>
              <w:bottom w:w="100" w:type="dxa"/>
              <w:left w:w="140" w:type="dxa"/>
              <w:right w:w="140" w:type="dxa"/>
            </w:tcMar>
          </w:tcPr>
          <w:p>
            <w:pPr>
              <w:spacing w:before="0" w:after="0" w:line="276" w:lineRule="auto"/>
              <w:jc w:val="center"/>
            </w:pPr>
            <w:r>
              <w:rPr>
                <w:rFonts w:ascii="Times New Roman" w:hAnsi="Times New Roman"/>
                <w:b w:val="0"/>
                <w:i w:val="0"/>
                <w:color w:val="222222"/>
                <w:sz w:val="20"/>
              </w:rPr>
              <w:t>7</w:t>
            </w:r>
          </w:p>
        </w:tc>
        <w:tc>
          <w:tcPr>
            <w:tcW w:type="dxa" w:w="4032"/>
            <w:shd w:fill="F9FBFD"/>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Зарезервована адреса (Reservation)</w:t>
            </w:r>
          </w:p>
        </w:tc>
        <w:tc>
          <w:tcPr>
            <w:tcW w:type="dxa" w:w="3744"/>
            <w:shd w:fill="F9FBFD"/>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IP: 192.168.1.4, Ім'я: Gateway, MAC: 1a-2b-3c-4d-5e-6f</w:t>
            </w:r>
          </w:p>
        </w:tc>
      </w:tr>
    </w:tbl>
    <w:p>
      <w:pPr>
        <w:spacing w:after="80"/>
      </w:pPr>
    </w:p>
    <w:p>
      <w:pPr>
        <w:keepNext/>
        <w:spacing w:before="160" w:after="60"/>
        <w:jc w:val="center"/>
      </w:pPr>
      <w:r>
        <w:drawing>
          <wp:inline xmlns:a="http://schemas.openxmlformats.org/drawingml/2006/main" xmlns:pic="http://schemas.openxmlformats.org/drawingml/2006/picture">
            <wp:extent cx="5212080" cy="3909060"/>
            <wp:docPr id="10" name="Picture 10"/>
            <wp:cNvGraphicFramePr>
              <a:graphicFrameLocks noChangeAspect="1"/>
            </wp:cNvGraphicFramePr>
            <a:graphic>
              <a:graphicData uri="http://schemas.openxmlformats.org/drawingml/2006/picture">
                <pic:pic>
                  <pic:nvPicPr>
                    <pic:cNvPr id="0" name="screenshot_step58_new_scope_wizard_welcome.png"/>
                    <pic:cNvPicPr/>
                  </pic:nvPicPr>
                  <pic:blipFill>
                    <a:blip r:embed="rId18"/>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10. Майстер створення нової області DHCP (New Scope Wizard)</w:t>
      </w:r>
    </w:p>
    <w:p>
      <w:pPr>
        <w:keepNext/>
        <w:spacing w:before="160" w:after="60"/>
        <w:jc w:val="center"/>
      </w:pPr>
      <w:r>
        <w:drawing>
          <wp:inline xmlns:a="http://schemas.openxmlformats.org/drawingml/2006/main" xmlns:pic="http://schemas.openxmlformats.org/drawingml/2006/picture">
            <wp:extent cx="5212080" cy="3909060"/>
            <wp:docPr id="11" name="Picture 11"/>
            <wp:cNvGraphicFramePr>
              <a:graphicFrameLocks noChangeAspect="1"/>
            </wp:cNvGraphicFramePr>
            <a:graphic>
              <a:graphicData uri="http://schemas.openxmlformats.org/drawingml/2006/picture">
                <pic:pic>
                  <pic:nvPicPr>
                    <pic:cNvPr id="0" name="screenshot_step60_new_scope_ip_range.png"/>
                    <pic:cNvPicPr/>
                  </pic:nvPicPr>
                  <pic:blipFill>
                    <a:blip r:embed="rId19"/>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11. Конфігурація пулу IP-адрес 192.168.1.1 — 192.168.1.200</w:t>
      </w:r>
    </w:p>
    <w:p>
      <w:pPr>
        <w:keepNext/>
        <w:spacing w:before="160" w:after="60"/>
        <w:jc w:val="center"/>
      </w:pPr>
      <w:r>
        <w:drawing>
          <wp:inline xmlns:a="http://schemas.openxmlformats.org/drawingml/2006/main" xmlns:pic="http://schemas.openxmlformats.org/drawingml/2006/picture">
            <wp:extent cx="5212080" cy="3909060"/>
            <wp:docPr id="12" name="Picture 12"/>
            <wp:cNvGraphicFramePr>
              <a:graphicFrameLocks noChangeAspect="1"/>
            </wp:cNvGraphicFramePr>
            <a:graphic>
              <a:graphicData uri="http://schemas.openxmlformats.org/drawingml/2006/picture">
                <pic:pic>
                  <pic:nvPicPr>
                    <pic:cNvPr id="0" name="screenshot_step61_new_scope_exclusions.png"/>
                    <pic:cNvPicPr/>
                  </pic:nvPicPr>
                  <pic:blipFill>
                    <a:blip r:embed="rId20"/>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12. Додавання діапазонів виключень з видачі DHCP</w:t>
      </w:r>
    </w:p>
    <w:p>
      <w:pPr>
        <w:keepNext/>
        <w:spacing w:before="160" w:after="60"/>
        <w:jc w:val="center"/>
      </w:pPr>
      <w:r>
        <w:drawing>
          <wp:inline xmlns:a="http://schemas.openxmlformats.org/drawingml/2006/main" xmlns:pic="http://schemas.openxmlformats.org/drawingml/2006/picture">
            <wp:extent cx="5212080" cy="3909060"/>
            <wp:docPr id="13" name="Picture 13"/>
            <wp:cNvGraphicFramePr>
              <a:graphicFrameLocks noChangeAspect="1"/>
            </wp:cNvGraphicFramePr>
            <a:graphic>
              <a:graphicData uri="http://schemas.openxmlformats.org/drawingml/2006/picture">
                <pic:pic>
                  <pic:nvPicPr>
                    <pic:cNvPr id="0" name="screenshot_step67_dhcp_reservation_dialog.png"/>
                    <pic:cNvPicPr/>
                  </pic:nvPicPr>
                  <pic:blipFill>
                    <a:blip r:embed="rId21"/>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13. Діалогове вікно резервування IP 192.168.1.4 для шлюзу</w:t>
      </w:r>
    </w:p>
    <w:p>
      <w:pPr>
        <w:keepNext/>
        <w:spacing w:before="160" w:after="60"/>
        <w:jc w:val="center"/>
      </w:pPr>
      <w:r>
        <w:drawing>
          <wp:inline xmlns:a="http://schemas.openxmlformats.org/drawingml/2006/main" xmlns:pic="http://schemas.openxmlformats.org/drawingml/2006/picture">
            <wp:extent cx="5212080" cy="3909060"/>
            <wp:docPr id="14" name="Picture 14"/>
            <wp:cNvGraphicFramePr>
              <a:graphicFrameLocks noChangeAspect="1"/>
            </wp:cNvGraphicFramePr>
            <a:graphic>
              <a:graphicData uri="http://schemas.openxmlformats.org/drawingml/2006/picture">
                <pic:pic>
                  <pic:nvPicPr>
                    <pic:cNvPr id="0" name="screenshot_step70_dhcp_scope_options_final.png"/>
                    <pic:cNvPicPr/>
                  </pic:nvPicPr>
                  <pic:blipFill>
                    <a:blip r:embed="rId22"/>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14. Сконфігуровані параметри області DHCP (Router, DNS, Domain Name)</w:t>
      </w:r>
    </w:p>
    <w:p>
      <w:pPr>
        <w:keepNext/>
        <w:spacing w:before="280" w:after="120"/>
      </w:pPr>
      <w:r>
        <w:rPr>
          <w:rFonts w:ascii="Times New Roman" w:hAnsi="Times New Roman"/>
          <w:b/>
          <w:color w:val="004B87"/>
          <w:sz w:val="27"/>
        </w:rPr>
        <w:t>Завдання 2. Створення структури Active Directory (OU, Користувачі, Групи безпеки)</w:t>
      </w:r>
    </w:p>
    <w:p>
      <w:pPr>
        <w:spacing w:line="276" w:lineRule="auto" w:after="120"/>
        <w:jc w:val="both"/>
      </w:pPr>
      <w:r>
        <w:rPr>
          <w:rFonts w:ascii="Times New Roman" w:hAnsi="Times New Roman"/>
          <w:color w:val="222222"/>
          <w:sz w:val="24"/>
        </w:rPr>
        <w:t>В оснастці «Active Directory - користувачі та комп'ютери» (dsa.msc) у домені office.com розгорнуто організаційну структуру підрозділів (OU), створено облікові записи користувачів та глобальні групи безпеки відповідно до Таблиці 2.</w:t>
      </w:r>
    </w:p>
    <w:p>
      <w:pPr>
        <w:spacing w:after="40"/>
      </w:pPr>
    </w:p>
    <w:p>
      <w:pPr>
        <w:keepNext/>
      </w:pPr>
      <w:r>
        <w:rPr>
          <w:rFonts w:ascii="Times New Roman" w:hAnsi="Times New Roman"/>
          <w:b/>
          <w:sz w:val="22"/>
        </w:rPr>
        <w:t>Таблиця 2. Структура підрозділів, користувачів і груп безпеки домену office.com</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4" w:space="0" w:color="D0D7DE"/>
          <w:insideV w:val="none"/>
        </w:tblBorders>
      </w:tblPr>
      <w:tblGrid>
        <w:gridCol w:w="2495"/>
        <w:gridCol w:w="2495"/>
        <w:gridCol w:w="2495"/>
        <w:gridCol w:w="2495"/>
      </w:tblGrid>
      <w:tr>
        <w:tc>
          <w:tcPr>
            <w:tcW w:type="dxa" w:w="720"/>
            <w:shd w:fill="1B365D"/>
            <w:vAlign w:val="center"/>
            <w:tcMar>
              <w:top w:w="100" w:type="dxa"/>
              <w:bottom w:w="100" w:type="dxa"/>
              <w:left w:w="140" w:type="dxa"/>
              <w:right w:w="140" w:type="dxa"/>
            </w:tcMar>
          </w:tcPr>
          <w:p>
            <w:pPr>
              <w:spacing w:before="0" w:after="0" w:line="276" w:lineRule="auto"/>
              <w:jc w:val="center"/>
            </w:pPr>
            <w:r>
              <w:rPr>
                <w:rFonts w:ascii="Times New Roman" w:hAnsi="Times New Roman"/>
                <w:b/>
                <w:i w:val="0"/>
                <w:color w:val="FFFFFF"/>
                <w:sz w:val="20"/>
              </w:rPr>
              <w:t>№</w:t>
            </w:r>
          </w:p>
        </w:tc>
        <w:tc>
          <w:tcPr>
            <w:tcW w:type="dxa" w:w="2592"/>
            <w:shd w:fill="1B365D"/>
            <w:vAlign w:val="center"/>
            <w:tcMar>
              <w:top w:w="100" w:type="dxa"/>
              <w:bottom w:w="100" w:type="dxa"/>
              <w:left w:w="140" w:type="dxa"/>
              <w:right w:w="140" w:type="dxa"/>
            </w:tcMar>
          </w:tcPr>
          <w:p>
            <w:pPr>
              <w:spacing w:before="0" w:after="0" w:line="276" w:lineRule="auto"/>
              <w:jc w:val="center"/>
            </w:pPr>
            <w:r>
              <w:rPr>
                <w:rFonts w:ascii="Times New Roman" w:hAnsi="Times New Roman"/>
                <w:b/>
                <w:i w:val="0"/>
                <w:color w:val="FFFFFF"/>
                <w:sz w:val="20"/>
              </w:rPr>
              <w:t>Організаційний підрозділ (OU)</w:t>
            </w:r>
          </w:p>
        </w:tc>
        <w:tc>
          <w:tcPr>
            <w:tcW w:type="dxa" w:w="3168"/>
            <w:shd w:fill="1B365D"/>
            <w:vAlign w:val="center"/>
            <w:tcMar>
              <w:top w:w="100" w:type="dxa"/>
              <w:bottom w:w="100" w:type="dxa"/>
              <w:left w:w="140" w:type="dxa"/>
              <w:right w:w="140" w:type="dxa"/>
            </w:tcMar>
          </w:tcPr>
          <w:p>
            <w:pPr>
              <w:spacing w:before="0" w:after="0" w:line="276" w:lineRule="auto"/>
              <w:jc w:val="center"/>
            </w:pPr>
            <w:r>
              <w:rPr>
                <w:rFonts w:ascii="Times New Roman" w:hAnsi="Times New Roman"/>
                <w:b/>
                <w:i w:val="0"/>
                <w:color w:val="FFFFFF"/>
                <w:sz w:val="20"/>
              </w:rPr>
              <w:t>Облікові записи користувачів</w:t>
            </w:r>
          </w:p>
        </w:tc>
        <w:tc>
          <w:tcPr>
            <w:tcW w:type="dxa" w:w="2592"/>
            <w:shd w:fill="1B365D"/>
            <w:vAlign w:val="center"/>
            <w:tcMar>
              <w:top w:w="100" w:type="dxa"/>
              <w:bottom w:w="100" w:type="dxa"/>
              <w:left w:w="140" w:type="dxa"/>
              <w:right w:w="140" w:type="dxa"/>
            </w:tcMar>
          </w:tcPr>
          <w:p>
            <w:pPr>
              <w:spacing w:before="0" w:after="0" w:line="276" w:lineRule="auto"/>
              <w:jc w:val="center"/>
            </w:pPr>
            <w:r>
              <w:rPr>
                <w:rFonts w:ascii="Times New Roman" w:hAnsi="Times New Roman"/>
                <w:b/>
                <w:i w:val="0"/>
                <w:color w:val="FFFFFF"/>
                <w:sz w:val="20"/>
              </w:rPr>
              <w:t>Глобальні групи безпеки</w:t>
            </w:r>
          </w:p>
        </w:tc>
      </w:tr>
      <w:tr>
        <w:tc>
          <w:tcPr>
            <w:tcW w:type="dxa" w:w="720"/>
            <w:shd w:fill="F9FBFD"/>
            <w:vAlign w:val="center"/>
            <w:tcMar>
              <w:top w:w="100" w:type="dxa"/>
              <w:bottom w:w="100" w:type="dxa"/>
              <w:left w:w="140" w:type="dxa"/>
              <w:right w:w="140" w:type="dxa"/>
            </w:tcMar>
          </w:tcPr>
          <w:p>
            <w:pPr>
              <w:spacing w:before="0" w:after="0" w:line="276" w:lineRule="auto"/>
              <w:jc w:val="center"/>
            </w:pPr>
            <w:r>
              <w:rPr>
                <w:rFonts w:ascii="Times New Roman" w:hAnsi="Times New Roman"/>
                <w:b w:val="0"/>
                <w:i w:val="0"/>
                <w:color w:val="222222"/>
                <w:sz w:val="20"/>
              </w:rPr>
              <w:t>1</w:t>
            </w:r>
          </w:p>
        </w:tc>
        <w:tc>
          <w:tcPr>
            <w:tcW w:type="dxa" w:w="2592"/>
            <w:shd w:fill="F9FBFD"/>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Керівники</w:t>
            </w:r>
          </w:p>
        </w:tc>
        <w:tc>
          <w:tcPr>
            <w:tcW w:type="dxa" w:w="3168"/>
            <w:shd w:fill="F9FBFD"/>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Директор (director), Заступник (deputy)</w:t>
            </w:r>
          </w:p>
        </w:tc>
        <w:tc>
          <w:tcPr>
            <w:tcW w:type="dxa" w:w="2592"/>
            <w:shd w:fill="F9FBFD"/>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Керівники</w:t>
            </w:r>
          </w:p>
        </w:tc>
      </w:tr>
      <w:tr>
        <w:tc>
          <w:tcPr>
            <w:tcW w:type="dxa" w:w="720"/>
            <w:shd w:fill="FFFFFF"/>
            <w:vAlign w:val="center"/>
            <w:tcMar>
              <w:top w:w="100" w:type="dxa"/>
              <w:bottom w:w="100" w:type="dxa"/>
              <w:left w:w="140" w:type="dxa"/>
              <w:right w:w="140" w:type="dxa"/>
            </w:tcMar>
          </w:tcPr>
          <w:p>
            <w:pPr>
              <w:spacing w:before="0" w:after="0" w:line="276" w:lineRule="auto"/>
              <w:jc w:val="center"/>
            </w:pPr>
            <w:r>
              <w:rPr>
                <w:rFonts w:ascii="Times New Roman" w:hAnsi="Times New Roman"/>
                <w:b w:val="0"/>
                <w:i w:val="0"/>
                <w:color w:val="222222"/>
                <w:sz w:val="20"/>
              </w:rPr>
              <w:t>2</w:t>
            </w:r>
          </w:p>
        </w:tc>
        <w:tc>
          <w:tcPr>
            <w:tcW w:type="dxa" w:w="2592"/>
            <w:shd w:fill="FFFFFF"/>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Фінансисти</w:t>
            </w:r>
          </w:p>
        </w:tc>
        <w:tc>
          <w:tcPr>
            <w:tcW w:type="dxa" w:w="3168"/>
            <w:shd w:fill="FFFFFF"/>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Бухгалтер (accountant), Економіст (economist), Менеджер (manager)</w:t>
            </w:r>
          </w:p>
        </w:tc>
        <w:tc>
          <w:tcPr>
            <w:tcW w:type="dxa" w:w="2592"/>
            <w:shd w:fill="FFFFFF"/>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Фінансисти</w:t>
            </w:r>
          </w:p>
        </w:tc>
      </w:tr>
      <w:tr>
        <w:tc>
          <w:tcPr>
            <w:tcW w:type="dxa" w:w="720"/>
            <w:shd w:fill="F9FBFD"/>
            <w:vAlign w:val="center"/>
            <w:tcMar>
              <w:top w:w="100" w:type="dxa"/>
              <w:bottom w:w="100" w:type="dxa"/>
              <w:left w:w="140" w:type="dxa"/>
              <w:right w:w="140" w:type="dxa"/>
            </w:tcMar>
          </w:tcPr>
          <w:p>
            <w:pPr>
              <w:spacing w:before="0" w:after="0" w:line="276" w:lineRule="auto"/>
              <w:jc w:val="center"/>
            </w:pPr>
            <w:r>
              <w:rPr>
                <w:rFonts w:ascii="Times New Roman" w:hAnsi="Times New Roman"/>
                <w:b w:val="0"/>
                <w:i w:val="0"/>
                <w:color w:val="222222"/>
                <w:sz w:val="20"/>
              </w:rPr>
              <w:t>3</w:t>
            </w:r>
          </w:p>
        </w:tc>
        <w:tc>
          <w:tcPr>
            <w:tcW w:type="dxa" w:w="2592"/>
            <w:shd w:fill="F9FBFD"/>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IT-спеціалісти</w:t>
            </w:r>
          </w:p>
        </w:tc>
        <w:tc>
          <w:tcPr>
            <w:tcW w:type="dxa" w:w="3168"/>
            <w:shd w:fill="F9FBFD"/>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Адміністратор (admin_it), Програміст (programmer), Сервіс-інженер (service_eng)</w:t>
            </w:r>
          </w:p>
        </w:tc>
        <w:tc>
          <w:tcPr>
            <w:tcW w:type="dxa" w:w="2592"/>
            <w:shd w:fill="F9FBFD"/>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IT-спеціалісти</w:t>
            </w:r>
          </w:p>
        </w:tc>
      </w:tr>
      <w:tr>
        <w:tc>
          <w:tcPr>
            <w:tcW w:type="dxa" w:w="720"/>
            <w:shd w:fill="FFFFFF"/>
            <w:vAlign w:val="center"/>
            <w:tcMar>
              <w:top w:w="100" w:type="dxa"/>
              <w:bottom w:w="100" w:type="dxa"/>
              <w:left w:w="140" w:type="dxa"/>
              <w:right w:w="140" w:type="dxa"/>
            </w:tcMar>
          </w:tcPr>
          <w:p>
            <w:pPr>
              <w:spacing w:before="0" w:after="0" w:line="276" w:lineRule="auto"/>
              <w:jc w:val="center"/>
            </w:pPr>
            <w:r>
              <w:rPr>
                <w:rFonts w:ascii="Times New Roman" w:hAnsi="Times New Roman"/>
                <w:b w:val="0"/>
                <w:i w:val="0"/>
                <w:color w:val="222222"/>
                <w:sz w:val="20"/>
              </w:rPr>
              <w:t>4</w:t>
            </w:r>
          </w:p>
        </w:tc>
        <w:tc>
          <w:tcPr>
            <w:tcW w:type="dxa" w:w="2592"/>
            <w:shd w:fill="FFFFFF"/>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Групи</w:t>
            </w:r>
          </w:p>
        </w:tc>
        <w:tc>
          <w:tcPr>
            <w:tcW w:type="dxa" w:w="3168"/>
            <w:shd w:fill="FFFFFF"/>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 (виділений контейнер для збереження об'єктів груп)</w:t>
            </w:r>
          </w:p>
        </w:tc>
        <w:tc>
          <w:tcPr>
            <w:tcW w:type="dxa" w:w="2592"/>
            <w:shd w:fill="FFFFFF"/>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AllStaff, IT-спеціалісти, Керівники, Фінансисти</w:t>
            </w:r>
          </w:p>
        </w:tc>
      </w:tr>
      <w:tr>
        <w:tc>
          <w:tcPr>
            <w:tcW w:type="dxa" w:w="720"/>
            <w:shd w:fill="F9FBFD"/>
            <w:vAlign w:val="center"/>
            <w:tcMar>
              <w:top w:w="100" w:type="dxa"/>
              <w:bottom w:w="100" w:type="dxa"/>
              <w:left w:w="140" w:type="dxa"/>
              <w:right w:w="140" w:type="dxa"/>
            </w:tcMar>
          </w:tcPr>
          <w:p>
            <w:pPr>
              <w:spacing w:before="0" w:after="0" w:line="276" w:lineRule="auto"/>
              <w:jc w:val="center"/>
            </w:pPr>
            <w:r>
              <w:rPr>
                <w:rFonts w:ascii="Times New Roman" w:hAnsi="Times New Roman"/>
                <w:b w:val="0"/>
                <w:i w:val="0"/>
                <w:color w:val="222222"/>
                <w:sz w:val="20"/>
              </w:rPr>
              <w:t>5</w:t>
            </w:r>
          </w:p>
        </w:tc>
        <w:tc>
          <w:tcPr>
            <w:tcW w:type="dxa" w:w="2592"/>
            <w:shd w:fill="F9FBFD"/>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Комп'ютери</w:t>
            </w:r>
          </w:p>
        </w:tc>
        <w:tc>
          <w:tcPr>
            <w:tcW w:type="dxa" w:w="3168"/>
            <w:shd w:fill="F9FBFD"/>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 (виділений підрозділ для клієнтських робочих станцій)</w:t>
            </w:r>
          </w:p>
        </w:tc>
        <w:tc>
          <w:tcPr>
            <w:tcW w:type="dxa" w:w="2592"/>
            <w:shd w:fill="F9FBFD"/>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w:t>
            </w:r>
          </w:p>
        </w:tc>
      </w:tr>
    </w:tbl>
    <w:p>
      <w:pPr>
        <w:spacing w:after="80"/>
      </w:pPr>
    </w:p>
    <w:p>
      <w:pPr>
        <w:keepNext/>
        <w:spacing w:before="160" w:after="60"/>
        <w:jc w:val="center"/>
      </w:pPr>
      <w:r>
        <w:drawing>
          <wp:inline xmlns:a="http://schemas.openxmlformats.org/drawingml/2006/main" xmlns:pic="http://schemas.openxmlformats.org/drawingml/2006/picture">
            <wp:extent cx="5212080" cy="3909060"/>
            <wp:docPr id="15" name="Picture 15"/>
            <wp:cNvGraphicFramePr>
              <a:graphicFrameLocks noChangeAspect="1"/>
            </wp:cNvGraphicFramePr>
            <a:graphic>
              <a:graphicData uri="http://schemas.openxmlformats.org/drawingml/2006/picture">
                <pic:pic>
                  <pic:nvPicPr>
                    <pic:cNvPr id="0" name="screenshot_step27_new_ou_dialog.png"/>
                    <pic:cNvPicPr/>
                  </pic:nvPicPr>
                  <pic:blipFill>
                    <a:blip r:embed="rId23"/>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15. Створення нового організаційного підрозділу (New Object - OU)</w:t>
      </w:r>
    </w:p>
    <w:p>
      <w:pPr>
        <w:keepNext/>
        <w:spacing w:before="160" w:after="60"/>
        <w:jc w:val="center"/>
      </w:pPr>
      <w:r>
        <w:drawing>
          <wp:inline xmlns:a="http://schemas.openxmlformats.org/drawingml/2006/main" xmlns:pic="http://schemas.openxmlformats.org/drawingml/2006/picture">
            <wp:extent cx="5212080" cy="3909060"/>
            <wp:docPr id="16" name="Picture 16"/>
            <wp:cNvGraphicFramePr>
              <a:graphicFrameLocks noChangeAspect="1"/>
            </wp:cNvGraphicFramePr>
            <a:graphic>
              <a:graphicData uri="http://schemas.openxmlformats.org/drawingml/2006/picture">
                <pic:pic>
                  <pic:nvPicPr>
                    <pic:cNvPr id="0" name="screenshot_step42_tree_all_active.png"/>
                    <pic:cNvPicPr/>
                  </pic:nvPicPr>
                  <pic:blipFill>
                    <a:blip r:embed="rId24"/>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16. Повне ієрархічне дерево організаційних підрозділів домену office.com</w:t>
      </w:r>
    </w:p>
    <w:p>
      <w:pPr>
        <w:keepNext/>
        <w:spacing w:before="160" w:after="60"/>
        <w:jc w:val="center"/>
      </w:pPr>
      <w:r>
        <w:drawing>
          <wp:inline xmlns:a="http://schemas.openxmlformats.org/drawingml/2006/main" xmlns:pic="http://schemas.openxmlformats.org/drawingml/2006/picture">
            <wp:extent cx="5212080" cy="3909060"/>
            <wp:docPr id="17" name="Picture 17"/>
            <wp:cNvGraphicFramePr>
              <a:graphicFrameLocks noChangeAspect="1"/>
            </wp:cNvGraphicFramePr>
            <a:graphic>
              <a:graphicData uri="http://schemas.openxmlformats.org/drawingml/2006/picture">
                <pic:pic>
                  <pic:nvPicPr>
                    <pic:cNvPr id="0" name="screenshot_step43_ou_kerivnyky_contents.png"/>
                    <pic:cNvPicPr/>
                  </pic:nvPicPr>
                  <pic:blipFill>
                    <a:blip r:embed="rId25"/>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17. Вміст підрозділу «Керівники» з обліковими записами</w:t>
      </w:r>
    </w:p>
    <w:p>
      <w:pPr>
        <w:keepNext/>
        <w:spacing w:before="160" w:after="60"/>
        <w:jc w:val="center"/>
      </w:pPr>
      <w:r>
        <w:drawing>
          <wp:inline xmlns:a="http://schemas.openxmlformats.org/drawingml/2006/main" xmlns:pic="http://schemas.openxmlformats.org/drawingml/2006/picture">
            <wp:extent cx="5212080" cy="3909060"/>
            <wp:docPr id="18" name="Picture 18"/>
            <wp:cNvGraphicFramePr>
              <a:graphicFrameLocks noChangeAspect="1"/>
            </wp:cNvGraphicFramePr>
            <a:graphic>
              <a:graphicData uri="http://schemas.openxmlformats.org/drawingml/2006/picture">
                <pic:pic>
                  <pic:nvPicPr>
                    <pic:cNvPr id="0" name="screenshot_step44_ou_finansysty_contents.png"/>
                    <pic:cNvPicPr/>
                  </pic:nvPicPr>
                  <pic:blipFill>
                    <a:blip r:embed="rId26"/>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18. Вміст підрозділу «Фінансисти»</w:t>
      </w:r>
    </w:p>
    <w:p>
      <w:pPr>
        <w:keepNext/>
        <w:spacing w:before="160" w:after="60"/>
        <w:jc w:val="center"/>
      </w:pPr>
      <w:r>
        <w:drawing>
          <wp:inline xmlns:a="http://schemas.openxmlformats.org/drawingml/2006/main" xmlns:pic="http://schemas.openxmlformats.org/drawingml/2006/picture">
            <wp:extent cx="5212080" cy="3909060"/>
            <wp:docPr id="19" name="Picture 19"/>
            <wp:cNvGraphicFramePr>
              <a:graphicFrameLocks noChangeAspect="1"/>
            </wp:cNvGraphicFramePr>
            <a:graphic>
              <a:graphicData uri="http://schemas.openxmlformats.org/drawingml/2006/picture">
                <pic:pic>
                  <pic:nvPicPr>
                    <pic:cNvPr id="0" name="screenshot_step48_ou_it_contents.png"/>
                    <pic:cNvPicPr/>
                  </pic:nvPicPr>
                  <pic:blipFill>
                    <a:blip r:embed="rId27"/>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19. Вміст підрозділу «IT-спеціалісти»</w:t>
      </w:r>
    </w:p>
    <w:p>
      <w:pPr>
        <w:keepNext/>
        <w:spacing w:before="160" w:after="60"/>
        <w:jc w:val="center"/>
      </w:pPr>
      <w:r>
        <w:drawing>
          <wp:inline xmlns:a="http://schemas.openxmlformats.org/drawingml/2006/main" xmlns:pic="http://schemas.openxmlformats.org/drawingml/2006/picture">
            <wp:extent cx="5212080" cy="3909060"/>
            <wp:docPr id="20" name="Picture 20"/>
            <wp:cNvGraphicFramePr>
              <a:graphicFrameLocks noChangeAspect="1"/>
            </wp:cNvGraphicFramePr>
            <a:graphic>
              <a:graphicData uri="http://schemas.openxmlformats.org/drawingml/2006/picture">
                <pic:pic>
                  <pic:nvPicPr>
                    <pic:cNvPr id="0" name="screenshot_step51_ou_groups_contents.png"/>
                    <pic:cNvPicPr/>
                  </pic:nvPicPr>
                  <pic:blipFill>
                    <a:blip r:embed="rId28"/>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20. Контейнер груп безпеки «Групи»</w:t>
      </w:r>
    </w:p>
    <w:p>
      <w:pPr>
        <w:keepNext/>
        <w:spacing w:before="280" w:after="120"/>
      </w:pPr>
      <w:r>
        <w:rPr>
          <w:rFonts w:ascii="Times New Roman" w:hAnsi="Times New Roman"/>
          <w:b/>
          <w:color w:val="004B87"/>
          <w:sz w:val="27"/>
        </w:rPr>
        <w:t>Завдання 3. Налаштування об'єкта групової політики (GPO) для підрозділу</w:t>
      </w:r>
    </w:p>
    <w:p>
      <w:pPr>
        <w:spacing w:line="276" w:lineRule="auto" w:after="120"/>
        <w:jc w:val="both"/>
      </w:pPr>
      <w:r>
        <w:rPr>
          <w:rFonts w:ascii="Times New Roman" w:hAnsi="Times New Roman"/>
          <w:color w:val="222222"/>
          <w:sz w:val="24"/>
        </w:rPr>
        <w:t>В оснастці керування груповою політикою gpmc.msc створено об'єкт групової політики «Фінансова політика безпеки» та виконано його лінкування (зв'язування) з організаційним підрозділом «Фінансисти». У редакторі Group Policy Management Editor здійснено перехід за вузлом:</w:t>
        <w:br/>
        <w:t>Конфігурація користувача -&gt; Політики -&gt; Адміністративні шаблони -&gt; Панель керування -&gt; Персоналізація.</w:t>
        <w:br/>
        <w:t>Сконфігуровано наступні параметри безпеки:</w:t>
        <w:br/>
        <w:t>1) Тайм-аут екранної заставки (Screen saver timeout): стан — Увімкнено (Enabled), тайм-аут — 600 секунд (10 хвилин). Внесено коментар «Фінансова політика безпеки»;</w:t>
        <w:br/>
        <w:t>2) Захист заставки паролем (Password protect the screen saver): стан — Увімкнено (Enabled);</w:t>
        <w:br/>
        <w:t>3) Увімкнення заставки (Enable screen saver): стан — Увімкнено (Enabled).</w:t>
      </w:r>
    </w:p>
    <w:p>
      <w:pPr>
        <w:keepNext/>
        <w:spacing w:before="160" w:after="60"/>
        <w:jc w:val="center"/>
      </w:pPr>
      <w:r>
        <w:drawing>
          <wp:inline xmlns:a="http://schemas.openxmlformats.org/drawingml/2006/main" xmlns:pic="http://schemas.openxmlformats.org/drawingml/2006/picture">
            <wp:extent cx="5212080" cy="3909060"/>
            <wp:docPr id="21" name="Picture 21"/>
            <wp:cNvGraphicFramePr>
              <a:graphicFrameLocks noChangeAspect="1"/>
            </wp:cNvGraphicFramePr>
            <a:graphic>
              <a:graphicData uri="http://schemas.openxmlformats.org/drawingml/2006/picture">
                <pic:pic>
                  <pic:nvPicPr>
                    <pic:cNvPr id="0" name="screenshot_step71_gpmc_tree.png"/>
                    <pic:cNvPicPr/>
                  </pic:nvPicPr>
                  <pic:blipFill>
                    <a:blip r:embed="rId29"/>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21. Оснастка gpmc.msc: створення та прив'язка GPO до OU «Фінансисти»</w:t>
      </w:r>
    </w:p>
    <w:p>
      <w:pPr>
        <w:keepNext/>
        <w:spacing w:before="160" w:after="60"/>
        <w:jc w:val="center"/>
      </w:pPr>
      <w:r>
        <w:drawing>
          <wp:inline xmlns:a="http://schemas.openxmlformats.org/drawingml/2006/main" xmlns:pic="http://schemas.openxmlformats.org/drawingml/2006/picture">
            <wp:extent cx="5212080" cy="3909060"/>
            <wp:docPr id="22" name="Picture 22"/>
            <wp:cNvGraphicFramePr>
              <a:graphicFrameLocks noChangeAspect="1"/>
            </wp:cNvGraphicFramePr>
            <a:graphic>
              <a:graphicData uri="http://schemas.openxmlformats.org/drawingml/2006/picture">
                <pic:pic>
                  <pic:nvPicPr>
                    <pic:cNvPr id="0" name="screenshot_step72_gpo_screensaver_timeout_dialog.png"/>
                    <pic:cNvPicPr/>
                  </pic:nvPicPr>
                  <pic:blipFill>
                    <a:blip r:embed="rId30"/>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22. Налаштування тайм-ауту заставки (600 с) з обов'язковим коментарем</w:t>
      </w:r>
    </w:p>
    <w:p>
      <w:pPr>
        <w:keepNext/>
        <w:spacing w:before="160" w:after="60"/>
        <w:jc w:val="center"/>
      </w:pPr>
      <w:r>
        <w:drawing>
          <wp:inline xmlns:a="http://schemas.openxmlformats.org/drawingml/2006/main" xmlns:pic="http://schemas.openxmlformats.org/drawingml/2006/picture">
            <wp:extent cx="5212080" cy="3909060"/>
            <wp:docPr id="23" name="Picture 23"/>
            <wp:cNvGraphicFramePr>
              <a:graphicFrameLocks noChangeAspect="1"/>
            </wp:cNvGraphicFramePr>
            <a:graphic>
              <a:graphicData uri="http://schemas.openxmlformats.org/drawingml/2006/picture">
                <pic:pic>
                  <pic:nvPicPr>
                    <pic:cNvPr id="0" name="screenshot_step72_gpo_screensaver.png"/>
                    <pic:cNvPicPr/>
                  </pic:nvPicPr>
                  <pic:blipFill>
                    <a:blip r:embed="rId31"/>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23. Редактор групових політик: стан активованих параметрів персоналізації</w:t>
      </w:r>
    </w:p>
    <w:p>
      <w:pPr>
        <w:keepNext/>
        <w:spacing w:before="280" w:after="120"/>
      </w:pPr>
      <w:r>
        <w:rPr>
          <w:rFonts w:ascii="Times New Roman" w:hAnsi="Times New Roman"/>
          <w:b/>
          <w:color w:val="004B87"/>
          <w:sz w:val="27"/>
        </w:rPr>
        <w:t>Завдання 4. Конфігурація спільних мережевих папок та домашніх дисків</w:t>
      </w:r>
    </w:p>
    <w:p>
      <w:pPr>
        <w:spacing w:line="276" w:lineRule="auto" w:after="120"/>
        <w:jc w:val="both"/>
      </w:pPr>
      <w:r>
        <w:rPr>
          <w:rFonts w:ascii="Times New Roman" w:hAnsi="Times New Roman"/>
          <w:color w:val="222222"/>
          <w:sz w:val="24"/>
        </w:rPr>
        <w:t>На системному диску C: контролера домену створено структуру папок для спільної роботи підприємства C:\Офіс з підпапками Керівники, Фінансисти, IT-спеціалісти, Users. Налаштовано комбіновані права доступу:</w:t>
        <w:br/>
        <w:t>• Мережевий доступ (SMB Share Permissions): групі Domain Users надано права Change та Read;</w:t>
        <w:br/>
        <w:t>• Права файлової системи (NTFS Permissions): налаштовано списки контролю доступу (ACL) з успадкуванням прав читання та вибірковим правом запису/модифікації виключно для відповідних груп підрозділів;</w:t>
        <w:br/>
        <w:t>• Монтування домашнього диска: в оснастці dsa.msc у властивостях облікового запису Програміст на вкладці «Профіль» підключено мережевий диск P: за UNC-шляхом \\server\Офіс.</w:t>
      </w:r>
    </w:p>
    <w:p>
      <w:pPr>
        <w:keepNext/>
        <w:spacing w:before="160" w:after="60"/>
        <w:jc w:val="center"/>
      </w:pPr>
      <w:r>
        <w:drawing>
          <wp:inline xmlns:a="http://schemas.openxmlformats.org/drawingml/2006/main" xmlns:pic="http://schemas.openxmlformats.org/drawingml/2006/picture">
            <wp:extent cx="5212080" cy="3909060"/>
            <wp:docPr id="24" name="Picture 24"/>
            <wp:cNvGraphicFramePr>
              <a:graphicFrameLocks noChangeAspect="1"/>
            </wp:cNvGraphicFramePr>
            <a:graphic>
              <a:graphicData uri="http://schemas.openxmlformats.org/drawingml/2006/picture">
                <pic:pic>
                  <pic:nvPicPr>
                    <pic:cNvPr id="0" name="screenshot_step73_ofis_sharing.png"/>
                    <pic:cNvPicPr/>
                  </pic:nvPicPr>
                  <pic:blipFill>
                    <a:blip r:embed="rId32"/>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24. Властивості папки C:\Офіс: налаштування мережевого доступу SMB</w:t>
      </w:r>
    </w:p>
    <w:p>
      <w:pPr>
        <w:keepNext/>
        <w:spacing w:before="160" w:after="60"/>
        <w:jc w:val="center"/>
      </w:pPr>
      <w:r>
        <w:drawing>
          <wp:inline xmlns:a="http://schemas.openxmlformats.org/drawingml/2006/main" xmlns:pic="http://schemas.openxmlformats.org/drawingml/2006/picture">
            <wp:extent cx="5212080" cy="3909060"/>
            <wp:docPr id="25" name="Picture 25"/>
            <wp:cNvGraphicFramePr>
              <a:graphicFrameLocks noChangeAspect="1"/>
            </wp:cNvGraphicFramePr>
            <a:graphic>
              <a:graphicData uri="http://schemas.openxmlformats.org/drawingml/2006/picture">
                <pic:pic>
                  <pic:nvPicPr>
                    <pic:cNvPr id="0" name="screenshot_step74_ofis_security.png"/>
                    <pic:cNvPicPr/>
                  </pic:nvPicPr>
                  <pic:blipFill>
                    <a:blip r:embed="rId33"/>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25. Властивості папки C:\Офіс: налаштування дескрипторів безпеки NTFS</w:t>
      </w:r>
    </w:p>
    <w:p>
      <w:pPr>
        <w:keepNext/>
        <w:spacing w:before="160" w:after="60"/>
        <w:jc w:val="center"/>
      </w:pPr>
      <w:r>
        <w:drawing>
          <wp:inline xmlns:a="http://schemas.openxmlformats.org/drawingml/2006/main" xmlns:pic="http://schemas.openxmlformats.org/drawingml/2006/picture">
            <wp:extent cx="5212080" cy="3909060"/>
            <wp:docPr id="26" name="Picture 26"/>
            <wp:cNvGraphicFramePr>
              <a:graphicFrameLocks noChangeAspect="1"/>
            </wp:cNvGraphicFramePr>
            <a:graphic>
              <a:graphicData uri="http://schemas.openxmlformats.org/drawingml/2006/picture">
                <pic:pic>
                  <pic:nvPicPr>
                    <pic:cNvPr id="0" name="screenshot_step49_programmer_profile.png"/>
                    <pic:cNvPicPr/>
                  </pic:nvPicPr>
                  <pic:blipFill>
                    <a:blip r:embed="rId34"/>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26. Налаштування монтування домашнього диска P: для користувача «Програміст»</w:t>
      </w:r>
    </w:p>
    <w:p>
      <w:pPr>
        <w:keepNext/>
        <w:spacing w:before="280" w:after="120"/>
      </w:pPr>
      <w:r>
        <w:rPr>
          <w:rFonts w:ascii="Times New Roman" w:hAnsi="Times New Roman"/>
          <w:b/>
          <w:color w:val="004B87"/>
          <w:sz w:val="27"/>
        </w:rPr>
        <w:t>Завдання 5. Налаштування переміщуваних (Roaming) та обов'язкових (Mandatory) профілів</w:t>
      </w:r>
    </w:p>
    <w:p>
      <w:pPr>
        <w:spacing w:line="276" w:lineRule="auto" w:after="120"/>
        <w:jc w:val="both"/>
      </w:pPr>
      <w:r>
        <w:rPr>
          <w:rFonts w:ascii="Times New Roman" w:hAnsi="Times New Roman"/>
          <w:color w:val="222222"/>
          <w:sz w:val="24"/>
        </w:rPr>
        <w:t>Створено мережеве сховище профілів C:\Profiles з мережевим ім'ям \\SERVER\Profiles з повним доступом для автентифікованих користувачів та системи.</w:t>
        <w:br/>
        <w:t>• Переміщуваний профіль: для користувача Сервіс-інженер вказано шлях \\server\Profiles\%username%. При вході та виході користувача вміст його робочого столу та налаштувань програм автоматично синхронізується з сервером;</w:t>
        <w:br/>
        <w:t>• Обов'язковий профіль: для користувача Менеджер налаштовано шлях профілю, після першого входу файл куща реєстру Ntuser.dat на сервері перейменовано на Ntuser.man. Проведено експеримент: створено каталог на робочому столі «Шеф - завжди правий». Після завершення роботи та повторного входу створена папка зникла, що підтверджує режим обов'язкового профілю, захищеного від локальних модифікацій.</w:t>
      </w:r>
    </w:p>
    <w:p>
      <w:pPr>
        <w:keepNext/>
        <w:spacing w:before="160" w:after="60"/>
        <w:jc w:val="center"/>
      </w:pPr>
      <w:r>
        <w:drawing>
          <wp:inline xmlns:a="http://schemas.openxmlformats.org/drawingml/2006/main" xmlns:pic="http://schemas.openxmlformats.org/drawingml/2006/picture">
            <wp:extent cx="5212080" cy="3909060"/>
            <wp:docPr id="27" name="Picture 27"/>
            <wp:cNvGraphicFramePr>
              <a:graphicFrameLocks noChangeAspect="1"/>
            </wp:cNvGraphicFramePr>
            <a:graphic>
              <a:graphicData uri="http://schemas.openxmlformats.org/drawingml/2006/picture">
                <pic:pic>
                  <pic:nvPicPr>
                    <pic:cNvPr id="0" name="screenshot_step75_profiles_sharing.png"/>
                    <pic:cNvPicPr/>
                  </pic:nvPicPr>
                  <pic:blipFill>
                    <a:blip r:embed="rId35"/>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27. Мережевий доступ до сховища профілів C:\Profiles</w:t>
      </w:r>
    </w:p>
    <w:p>
      <w:pPr>
        <w:keepNext/>
        <w:spacing w:before="160" w:after="60"/>
        <w:jc w:val="center"/>
      </w:pPr>
      <w:r>
        <w:drawing>
          <wp:inline xmlns:a="http://schemas.openxmlformats.org/drawingml/2006/main" xmlns:pic="http://schemas.openxmlformats.org/drawingml/2006/picture">
            <wp:extent cx="5212080" cy="3909060"/>
            <wp:docPr id="28" name="Picture 28"/>
            <wp:cNvGraphicFramePr>
              <a:graphicFrameLocks noChangeAspect="1"/>
            </wp:cNvGraphicFramePr>
            <a:graphic>
              <a:graphicData uri="http://schemas.openxmlformats.org/drawingml/2006/picture">
                <pic:pic>
                  <pic:nvPicPr>
                    <pic:cNvPr id="0" name="screenshot_step76_profiles_security.png"/>
                    <pic:cNvPicPr/>
                  </pic:nvPicPr>
                  <pic:blipFill>
                    <a:blip r:embed="rId36"/>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28. Рівень доступу NTFS сховища профілів</w:t>
      </w:r>
    </w:p>
    <w:p>
      <w:pPr>
        <w:keepNext/>
        <w:spacing w:before="160" w:after="60"/>
        <w:jc w:val="center"/>
      </w:pPr>
      <w:r>
        <w:drawing>
          <wp:inline xmlns:a="http://schemas.openxmlformats.org/drawingml/2006/main" xmlns:pic="http://schemas.openxmlformats.org/drawingml/2006/picture">
            <wp:extent cx="5212080" cy="3909060"/>
            <wp:docPr id="29" name="Picture 29"/>
            <wp:cNvGraphicFramePr>
              <a:graphicFrameLocks noChangeAspect="1"/>
            </wp:cNvGraphicFramePr>
            <a:graphic>
              <a:graphicData uri="http://schemas.openxmlformats.org/drawingml/2006/picture">
                <pic:pic>
                  <pic:nvPicPr>
                    <pic:cNvPr id="0" name="screenshot_step46_manager_profile_path.png"/>
                    <pic:cNvPicPr/>
                  </pic:nvPicPr>
                  <pic:blipFill>
                    <a:blip r:embed="rId37"/>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29. Завдання мережевого шляху до переміщуваного профілю користувача</w:t>
      </w:r>
    </w:p>
    <w:tbl>
      <w:tblPr>
        <w:tblW w:type="auto" w:w="0"/>
        <w:jc w:val="center"/>
        <w:tblLook w:firstColumn="1" w:firstRow="1" w:lastColumn="0" w:lastRow="0" w:noHBand="0" w:noVBand="1" w:val="04A0"/>
      </w:tblPr>
      <w:tblGrid>
        <w:gridCol w:w="9979"/>
      </w:tblGrid>
      <w:tr>
        <w:tc>
          <w:tcPr>
            <w:tcW w:type="dxa" w:w="9979"/>
            <w:shd w:fill="F0F4F8"/>
            <w:tcMar>
              <w:top w:w="140" w:type="dxa"/>
              <w:bottom w:w="140" w:type="dxa"/>
              <w:left w:w="180" w:type="dxa"/>
              <w:right w:w="180" w:type="dxa"/>
            </w:tcMar>
            <w:tcBorders>
              <w:left w:val="single" w:sz="24" w:space="0" w:color="1B365D"/>
              <w:top w:val="none"/>
              <w:right w:val="none"/>
              <w:bottom w:val="none"/>
            </w:tcBorders>
          </w:tcPr>
          <w:p>
            <w:pPr>
              <w:spacing w:before="40" w:after="40" w:line="276" w:lineRule="auto"/>
            </w:pPr>
            <w:r>
              <w:rPr>
                <w:rFonts w:ascii="Times New Roman" w:hAnsi="Times New Roman"/>
                <w:b/>
                <w:color w:val="1B365D"/>
                <w:sz w:val="21"/>
              </w:rPr>
              <w:t>РЕЗУЛЬТАТ ДОСЛІДЖЕННЯ ОБОВ'ЯЗКОВОГО ПРОФІЛЮ:</w:t>
              <w:br/>
            </w:r>
            <w:r>
              <w:rPr>
                <w:rFonts w:ascii="Times New Roman" w:hAnsi="Times New Roman"/>
                <w:color w:val="333333"/>
                <w:sz w:val="21"/>
              </w:rPr>
              <w:t>При перейменуванні файлу реєстру Ntuser.dat на Ntuser.man профіль стає обов'язковим (read-only). Операційна система Windows забороняє збереження змін у конфігурації профілю на сервері при виході користувача з системи, що гарантує захист робочого середовища від несанкціонованих правок.</w:t>
            </w:r>
          </w:p>
        </w:tc>
      </w:tr>
    </w:tbl>
    <w:p>
      <w:pPr>
        <w:spacing w:before="0" w:after="80"/>
      </w:pPr>
    </w:p>
    <w:p>
      <w:pPr>
        <w:keepNext/>
        <w:spacing w:before="280" w:after="120"/>
      </w:pPr>
      <w:r>
        <w:rPr>
          <w:rFonts w:ascii="Times New Roman" w:hAnsi="Times New Roman"/>
          <w:b/>
          <w:color w:val="004B87"/>
          <w:sz w:val="27"/>
        </w:rPr>
        <w:t>Завдання 6–8. Політики паролів, блокування облікових записів та ActiveDesktop</w:t>
      </w:r>
    </w:p>
    <w:p>
      <w:pPr>
        <w:spacing w:line="276" w:lineRule="auto" w:after="120"/>
        <w:jc w:val="both"/>
      </w:pPr>
      <w:r>
        <w:rPr>
          <w:rFonts w:ascii="Times New Roman" w:hAnsi="Times New Roman"/>
          <w:color w:val="222222"/>
          <w:sz w:val="24"/>
        </w:rPr>
        <w:t>• Політика складності паролів: у Default Domain Policy (Конфігурація комп'ютера -&gt; Параметри безпеки -&gt; Політики облікових записів -&gt; Політика паролів) активовано: мінімальна довжина пароля — 8 символів, збереження історії — 3 паролі, вимоги складності — Увімкнено, максимальний термін дії — 60 днів;</w:t>
        <w:br/>
        <w:t>• Політика блокування облікових записів (Account Lockout Policy): поріг блокування — 3 спроби невдалого входу, тривалість блокування — 5 хвилин, скидання лічильника блокування — через 5 хвилин;</w:t>
        <w:br/>
        <w:t>• ActiveDesktop для підрозділу StudentSecurity: створено окремий OU StudentSecurity з прив'язкою GPO, яка блокує можливість користувача самостійно змінювати шпалери робочого столу (Prohibit changes to desktop background) та призначає корпоративне зображення.</w:t>
      </w:r>
    </w:p>
    <w:p>
      <w:pPr>
        <w:keepNext/>
        <w:spacing w:before="280" w:after="120"/>
      </w:pPr>
      <w:r>
        <w:rPr>
          <w:rFonts w:ascii="Times New Roman" w:hAnsi="Times New Roman"/>
          <w:b/>
          <w:color w:val="004B87"/>
          <w:sz w:val="27"/>
        </w:rPr>
        <w:t>Завдання 9. Приєднання клієнтської робочої станції Windows 10 до домену office.com</w:t>
      </w:r>
    </w:p>
    <w:p>
      <w:pPr>
        <w:spacing w:line="276" w:lineRule="auto" w:after="120"/>
        <w:jc w:val="both"/>
      </w:pPr>
      <w:r>
        <w:rPr>
          <w:rFonts w:ascii="Times New Roman" w:hAnsi="Times New Roman"/>
          <w:color w:val="222222"/>
          <w:sz w:val="24"/>
        </w:rPr>
        <w:t>Клієнтська робоча станція Windows 10 підключена до внутрішньої мережі office_net. Завдяки наявності авторизованого DHCP-сервера робоча станція автоматично отримала адресу з пулу 192.168.1.1, маску 255.255.255.0, шлюз 192.168.1.4, DNS 192.168.1.5 та доменний суфікс office.com з терміном оренди на 8 днів, що зафіксовано на знімку екрана (Рис. 30).</w:t>
      </w:r>
    </w:p>
    <w:p>
      <w:pPr>
        <w:keepNext/>
        <w:spacing w:before="160" w:after="60"/>
        <w:jc w:val="center"/>
      </w:pPr>
      <w:r>
        <w:drawing>
          <wp:inline xmlns:a="http://schemas.openxmlformats.org/drawingml/2006/main" xmlns:pic="http://schemas.openxmlformats.org/drawingml/2006/picture">
            <wp:extent cx="5212080" cy="3909060"/>
            <wp:docPr id="30" name="Picture 30"/>
            <wp:cNvGraphicFramePr>
              <a:graphicFrameLocks noChangeAspect="1"/>
            </wp:cNvGraphicFramePr>
            <a:graphic>
              <a:graphicData uri="http://schemas.openxmlformats.org/drawingml/2006/picture">
                <pic:pic>
                  <pic:nvPicPr>
                    <pic:cNvPr id="0" name="screenshot_step77_win10_dhcp_ipconfig.png"/>
                    <pic:cNvPicPr/>
                  </pic:nvPicPr>
                  <pic:blipFill>
                    <a:blip r:embed="rId38"/>
                    <a:stretch>
                      <a:fillRect/>
                    </a:stretch>
                  </pic:blipFill>
                  <pic:spPr>
                    <a:xfrm>
                      <a:off x="0" y="0"/>
                      <a:ext cx="5212080" cy="3909060"/>
                    </a:xfrm>
                    <a:prstGeom prst="rect"/>
                  </pic:spPr>
                </pic:pic>
              </a:graphicData>
            </a:graphic>
          </wp:inline>
        </w:drawing>
      </w:r>
    </w:p>
    <w:p>
      <w:pPr>
        <w:spacing w:before="40" w:after="200"/>
        <w:jc w:val="center"/>
      </w:pPr>
      <w:r>
        <w:rPr>
          <w:rFonts w:ascii="Times New Roman" w:hAnsi="Times New Roman"/>
          <w:i/>
          <w:color w:val="444444"/>
          <w:sz w:val="20"/>
        </w:rPr>
        <w:t>Рис. 30. Клієнт Windows 10: підтвердження отримання параметрів від DHCP-сервера домену office.com</w:t>
      </w:r>
    </w:p>
    <w:p>
      <w:pPr>
        <w:spacing w:line="276" w:lineRule="auto" w:after="120"/>
        <w:jc w:val="both"/>
      </w:pPr>
      <w:r>
        <w:rPr>
          <w:rFonts w:ascii="Times New Roman" w:hAnsi="Times New Roman"/>
          <w:color w:val="222222"/>
          <w:sz w:val="24"/>
        </w:rPr>
        <w:t>Властивості комп'ютера відкрито через діалогове вікно sysdm.cpl. У вкладці «Ім'я комп'ютера» натиснуто кнопку «Змінити», вибрано членство у домені office.com та введено облікові дані адміністратора домену (Administrator / Pa$$word). Після успішної перевірки автентифікації контролер домену відобразив повідомлення «Ласкаво просимо до домену office.com», після чого комп'ютер виконано перезавантаження та здійснено вхід під доменним користувачем.</w:t>
      </w:r>
    </w:p>
    <w:p>
      <w:pPr>
        <w:keepNext/>
        <w:spacing w:before="280" w:after="120"/>
      </w:pPr>
      <w:r>
        <w:rPr>
          <w:rFonts w:ascii="Times New Roman" w:hAnsi="Times New Roman"/>
          <w:b/>
          <w:color w:val="004B87"/>
          <w:sz w:val="27"/>
        </w:rPr>
        <w:t>Завдання 10–12. Спільні папки, механізм «Run As» та міграція SSRS</w:t>
      </w:r>
    </w:p>
    <w:p>
      <w:pPr>
        <w:spacing w:line="276" w:lineRule="auto" w:after="120"/>
        <w:jc w:val="both"/>
      </w:pPr>
      <w:r>
        <w:rPr>
          <w:rFonts w:ascii="Times New Roman" w:hAnsi="Times New Roman"/>
          <w:color w:val="222222"/>
          <w:sz w:val="24"/>
        </w:rPr>
        <w:t>• Спільна мережева папка: підключено мережевий ресурс \\server\Users\Студенти як локальний мережевий диск G: для доменних клієнтів;</w:t>
        <w:br/>
        <w:t>• Механізм підвищення привілеїв «Run As»: досліджено запуск адміністративних оснасток та утиліт із сеансу рядового користувача. За допомогою контекстного меню (Shift + правий клік -&gt; «Запустити від імені іншого користувача») введено реквізити office.com\Administrator, що забезпечило виконання завдань управління без переривання користувацького сеансу;</w:t>
        <w:br/>
        <w:t>• Міграція звітів SSRS (rs.exe): досліджено скриптову утиліту rs.exe та сценарій ssrs_migration.rss для реплікації об'єктів між серверами SQL Server Reporting Services. Підтримувані режими представлено в Таблиці 3.</w:t>
      </w:r>
    </w:p>
    <w:p>
      <w:pPr>
        <w:spacing w:after="40"/>
      </w:pPr>
    </w:p>
    <w:p>
      <w:pPr>
        <w:keepNext/>
      </w:pPr>
      <w:r>
        <w:rPr>
          <w:rFonts w:ascii="Times New Roman" w:hAnsi="Times New Roman"/>
          <w:b/>
          <w:sz w:val="22"/>
        </w:rPr>
        <w:t>Таблиця 3. Режими серверів звітів для міграції утилітою rs.exe</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4" w:space="0" w:color="D0D7DE"/>
          <w:insideV w:val="none"/>
        </w:tblBorders>
      </w:tblPr>
      <w:tblGrid>
        <w:gridCol w:w="3326"/>
        <w:gridCol w:w="3326"/>
        <w:gridCol w:w="3326"/>
      </w:tblGrid>
      <w:tr>
        <w:tc>
          <w:tcPr>
            <w:tcW w:type="dxa" w:w="864"/>
            <w:shd w:fill="1B365D"/>
            <w:vAlign w:val="center"/>
            <w:tcMar>
              <w:top w:w="100" w:type="dxa"/>
              <w:bottom w:w="100" w:type="dxa"/>
              <w:left w:w="140" w:type="dxa"/>
              <w:right w:w="140" w:type="dxa"/>
            </w:tcMar>
          </w:tcPr>
          <w:p>
            <w:pPr>
              <w:spacing w:before="0" w:after="0" w:line="276" w:lineRule="auto"/>
              <w:jc w:val="center"/>
            </w:pPr>
            <w:r>
              <w:rPr>
                <w:rFonts w:ascii="Times New Roman" w:hAnsi="Times New Roman"/>
                <w:b/>
                <w:i w:val="0"/>
                <w:color w:val="FFFFFF"/>
                <w:sz w:val="20"/>
              </w:rPr>
              <w:t>№</w:t>
            </w:r>
          </w:p>
        </w:tc>
        <w:tc>
          <w:tcPr>
            <w:tcW w:type="dxa" w:w="3888"/>
            <w:shd w:fill="1B365D"/>
            <w:vAlign w:val="center"/>
            <w:tcMar>
              <w:top w:w="100" w:type="dxa"/>
              <w:bottom w:w="100" w:type="dxa"/>
              <w:left w:w="140" w:type="dxa"/>
              <w:right w:w="140" w:type="dxa"/>
            </w:tcMar>
          </w:tcPr>
          <w:p>
            <w:pPr>
              <w:spacing w:before="0" w:after="0" w:line="276" w:lineRule="auto"/>
              <w:jc w:val="center"/>
            </w:pPr>
            <w:r>
              <w:rPr>
                <w:rFonts w:ascii="Times New Roman" w:hAnsi="Times New Roman"/>
                <w:b/>
                <w:i w:val="0"/>
                <w:color w:val="FFFFFF"/>
                <w:sz w:val="20"/>
              </w:rPr>
              <w:t>Сервер міграції</w:t>
            </w:r>
          </w:p>
        </w:tc>
        <w:tc>
          <w:tcPr>
            <w:tcW w:type="dxa" w:w="3888"/>
            <w:shd w:fill="1B365D"/>
            <w:vAlign w:val="center"/>
            <w:tcMar>
              <w:top w:w="100" w:type="dxa"/>
              <w:bottom w:w="100" w:type="dxa"/>
              <w:left w:w="140" w:type="dxa"/>
              <w:right w:w="140" w:type="dxa"/>
            </w:tcMar>
          </w:tcPr>
          <w:p>
            <w:pPr>
              <w:spacing w:before="0" w:after="0" w:line="276" w:lineRule="auto"/>
              <w:jc w:val="center"/>
            </w:pPr>
            <w:r>
              <w:rPr>
                <w:rFonts w:ascii="Times New Roman" w:hAnsi="Times New Roman"/>
                <w:b/>
                <w:i w:val="0"/>
                <w:color w:val="FFFFFF"/>
                <w:sz w:val="20"/>
              </w:rPr>
              <w:t>Режим функціонування сервера звітів (Mode)</w:t>
            </w:r>
          </w:p>
        </w:tc>
      </w:tr>
      <w:tr>
        <w:tc>
          <w:tcPr>
            <w:tcW w:type="dxa" w:w="864"/>
            <w:shd w:fill="F9FBFD"/>
            <w:vAlign w:val="center"/>
            <w:tcMar>
              <w:top w:w="100" w:type="dxa"/>
              <w:bottom w:w="100" w:type="dxa"/>
              <w:left w:w="140" w:type="dxa"/>
              <w:right w:w="140" w:type="dxa"/>
            </w:tcMar>
          </w:tcPr>
          <w:p>
            <w:pPr>
              <w:spacing w:before="0" w:after="0" w:line="276" w:lineRule="auto"/>
              <w:jc w:val="center"/>
            </w:pPr>
            <w:r>
              <w:rPr>
                <w:rFonts w:ascii="Times New Roman" w:hAnsi="Times New Roman"/>
                <w:b w:val="0"/>
                <w:i w:val="0"/>
                <w:color w:val="222222"/>
                <w:sz w:val="20"/>
              </w:rPr>
              <w:t>1</w:t>
            </w:r>
          </w:p>
        </w:tc>
        <w:tc>
          <w:tcPr>
            <w:tcW w:type="dxa" w:w="3888"/>
            <w:shd w:fill="F9FBFD"/>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Сервер А (Вихідний)</w:t>
            </w:r>
          </w:p>
        </w:tc>
        <w:tc>
          <w:tcPr>
            <w:tcW w:type="dxa" w:w="3888"/>
            <w:shd w:fill="F9FBFD"/>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Власний режим (Native Mode)</w:t>
            </w:r>
          </w:p>
        </w:tc>
      </w:tr>
      <w:tr>
        <w:tc>
          <w:tcPr>
            <w:tcW w:type="dxa" w:w="864"/>
            <w:shd w:fill="FFFFFF"/>
            <w:vAlign w:val="center"/>
            <w:tcMar>
              <w:top w:w="100" w:type="dxa"/>
              <w:bottom w:w="100" w:type="dxa"/>
              <w:left w:w="140" w:type="dxa"/>
              <w:right w:w="140" w:type="dxa"/>
            </w:tcMar>
          </w:tcPr>
          <w:p>
            <w:pPr>
              <w:spacing w:before="0" w:after="0" w:line="276" w:lineRule="auto"/>
              <w:jc w:val="center"/>
            </w:pPr>
            <w:r>
              <w:rPr>
                <w:rFonts w:ascii="Times New Roman" w:hAnsi="Times New Roman"/>
                <w:b w:val="0"/>
                <w:i w:val="0"/>
                <w:color w:val="222222"/>
                <w:sz w:val="20"/>
              </w:rPr>
              <w:t>2</w:t>
            </w:r>
          </w:p>
        </w:tc>
        <w:tc>
          <w:tcPr>
            <w:tcW w:type="dxa" w:w="3888"/>
            <w:shd w:fill="FFFFFF"/>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Сервер В (Цільовий)</w:t>
            </w:r>
          </w:p>
        </w:tc>
        <w:tc>
          <w:tcPr>
            <w:tcW w:type="dxa" w:w="3888"/>
            <w:shd w:fill="FFFFFF"/>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SharePoint Integrated Mode</w:t>
            </w:r>
          </w:p>
        </w:tc>
      </w:tr>
      <w:tr>
        <w:tc>
          <w:tcPr>
            <w:tcW w:type="dxa" w:w="864"/>
            <w:shd w:fill="F9FBFD"/>
            <w:vAlign w:val="center"/>
            <w:tcMar>
              <w:top w:w="100" w:type="dxa"/>
              <w:bottom w:w="100" w:type="dxa"/>
              <w:left w:w="140" w:type="dxa"/>
              <w:right w:w="140" w:type="dxa"/>
            </w:tcMar>
          </w:tcPr>
          <w:p>
            <w:pPr>
              <w:spacing w:before="0" w:after="0" w:line="276" w:lineRule="auto"/>
              <w:jc w:val="center"/>
            </w:pPr>
            <w:r>
              <w:rPr>
                <w:rFonts w:ascii="Times New Roman" w:hAnsi="Times New Roman"/>
                <w:b w:val="0"/>
                <w:i w:val="0"/>
                <w:color w:val="222222"/>
                <w:sz w:val="20"/>
              </w:rPr>
              <w:t>3</w:t>
            </w:r>
          </w:p>
        </w:tc>
        <w:tc>
          <w:tcPr>
            <w:tcW w:type="dxa" w:w="3888"/>
            <w:shd w:fill="F9FBFD"/>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Сервер С (Резервний)</w:t>
            </w:r>
          </w:p>
        </w:tc>
        <w:tc>
          <w:tcPr>
            <w:tcW w:type="dxa" w:w="3888"/>
            <w:shd w:fill="F9FBFD"/>
            <w:vAlign w:val="center"/>
            <w:tcMar>
              <w:top w:w="100" w:type="dxa"/>
              <w:bottom w:w="100" w:type="dxa"/>
              <w:left w:w="140" w:type="dxa"/>
              <w:right w:w="140" w:type="dxa"/>
            </w:tcMar>
          </w:tcPr>
          <w:p>
            <w:pPr>
              <w:spacing w:before="0" w:after="0" w:line="276" w:lineRule="auto"/>
              <w:jc w:val="left"/>
            </w:pPr>
            <w:r>
              <w:rPr>
                <w:rFonts w:ascii="Times New Roman" w:hAnsi="Times New Roman"/>
                <w:b w:val="0"/>
                <w:i w:val="0"/>
                <w:color w:val="222222"/>
                <w:sz w:val="20"/>
              </w:rPr>
              <w:t>SharePoint Integrated Mode</w:t>
            </w:r>
          </w:p>
        </w:tc>
      </w:tr>
    </w:tbl>
    <w:p>
      <w:pPr>
        <w:spacing w:after="80"/>
      </w:pPr>
    </w:p>
    <w:p>
      <w:pPr>
        <w:keepNext/>
        <w:spacing w:before="280" w:after="120"/>
      </w:pPr>
      <w:r>
        <w:rPr>
          <w:rFonts w:ascii="Times New Roman" w:hAnsi="Times New Roman"/>
          <w:b/>
          <w:color w:val="1B365D"/>
          <w:sz w:val="30"/>
        </w:rPr>
        <w:t>3. Відповіді на контрольні запитання</w:t>
      </w:r>
    </w:p>
    <w:p>
      <w:pPr>
        <w:spacing w:line="276" w:lineRule="auto" w:after="120"/>
        <w:jc w:val="both"/>
      </w:pPr>
      <w:r>
        <w:rPr>
          <w:rFonts w:ascii="Times New Roman" w:hAnsi="Times New Roman"/>
          <w:b/>
          <w:color w:val="111111"/>
          <w:sz w:val="24"/>
        </w:rPr>
        <w:t xml:space="preserve">1. Що таке Active Directory та яка її основна функція? </w:t>
      </w:r>
      <w:r>
        <w:rPr>
          <w:rFonts w:ascii="Times New Roman" w:hAnsi="Times New Roman"/>
          <w:color w:val="222222"/>
          <w:sz w:val="24"/>
        </w:rPr>
        <w:t>Active Directory Domain Services (AD DS) — це масштабована, безпечна та стандартизована служба каталогів корпорації Microsoft, що діє як єдине централізоване сховище метаданих та облікових даних мережевих ресурсів (користувачів, комп'ютерів, груп, принтерів, спільних файлових ресурсів). Її ключовими функціями є: 1) централізація автентифікації та авторизації в масштабах підприємства за стандартами Kerberos v5 та NTLM; 2) забезпечення ієрархічної структури управління через підрозділи (OU); 3) доставка конфігурацій та параметрів безпеки за допомогою групових політик (GPO); 4) надання глобального пошуку через протокол LDAP та роль Global Catalog.</w:t>
      </w:r>
    </w:p>
    <w:p>
      <w:pPr>
        <w:spacing w:line="276" w:lineRule="auto" w:after="120"/>
        <w:jc w:val="both"/>
      </w:pPr>
      <w:r>
        <w:rPr>
          <w:rFonts w:ascii="Times New Roman" w:hAnsi="Times New Roman"/>
          <w:b/>
          <w:color w:val="111111"/>
          <w:sz w:val="24"/>
        </w:rPr>
        <w:t xml:space="preserve">2. Чим відрізняється робоча група (Workgroup) від домену (Domain)? </w:t>
      </w:r>
      <w:r>
        <w:rPr>
          <w:rFonts w:ascii="Times New Roman" w:hAnsi="Times New Roman"/>
          <w:color w:val="222222"/>
          <w:sz w:val="24"/>
        </w:rPr>
        <w:t>Основні відмінності полягають у принципах управління та безпеки:</w:t>
        <w:br/>
        <w:t>• У робочій групі (Workgroup) кожен комп'ютер є децентралізованим та ізольованим вузлом (peer-to-peer). Кожен вузол має власну локальну базу безпеки SAM, тому користувача необхідно створювати окремо на кожній машині, а централізоване керування політиками відсутнє;</w:t>
        <w:br/>
        <w:t>• У домені (Domain) управління є строго централізованим на основі клієнт-серверної архітектури. Облікові записи створюються один раз у каталозі NTDS.dit контролера домену та діють на всіх робочих станціях, об'єднаних у довірчу зону.</w:t>
      </w:r>
    </w:p>
    <w:p>
      <w:pPr>
        <w:spacing w:line="276" w:lineRule="auto" w:after="120"/>
        <w:jc w:val="both"/>
      </w:pPr>
      <w:r>
        <w:rPr>
          <w:rFonts w:ascii="Times New Roman" w:hAnsi="Times New Roman"/>
          <w:b/>
          <w:color w:val="111111"/>
          <w:sz w:val="24"/>
        </w:rPr>
        <w:t xml:space="preserve">3. Яка різниця між переміщуваним (Roaming) та обов'язковим (Mandatory) профілем? </w:t>
      </w:r>
      <w:r>
        <w:rPr>
          <w:rFonts w:ascii="Times New Roman" w:hAnsi="Times New Roman"/>
          <w:color w:val="222222"/>
          <w:sz w:val="24"/>
        </w:rPr>
        <w:t>• Переміщуваний профіль (Roaming User Profile) зберігає робочий стіл, конфігураційні файли додатків та гілку реєстру HKEY_CURRENT_USER на централізованому файловому сервері (шлях \\server\Profiles\%username%). При вході на будь-яку робочу станцію профіль копіюється локально, а при виході — всі змінені файли та стан реєстру Ntuser.dat оновлюються на сервері;</w:t>
        <w:br/>
        <w:t>• Обов'язковий профіль (Mandatory Profile) відрізняється наявністю перейменованого файлу Ntuser.man замість Ntuser.dat. Він є профілем лише для читання. Користувач може створювати документи на робочому столі або змінювати налаштування протягом поточного сеансу, але під час виходу операційна система відкидає всі модифікації і не записує їх на сервер. Це забезпечує ідентичний стандартний стан інтерфейсу при кожному запуску (наприклад, для терміналів, банківських кас, студентських аудиторій).</w:t>
      </w:r>
    </w:p>
    <w:p>
      <w:pPr>
        <w:spacing w:line="276" w:lineRule="auto" w:after="120"/>
        <w:jc w:val="both"/>
      </w:pPr>
      <w:r>
        <w:rPr>
          <w:rFonts w:ascii="Times New Roman" w:hAnsi="Times New Roman"/>
          <w:b/>
          <w:color w:val="111111"/>
          <w:sz w:val="24"/>
        </w:rPr>
        <w:t xml:space="preserve">4. Для чого використовується утиліта dcpromo? </w:t>
      </w:r>
      <w:r>
        <w:rPr>
          <w:rFonts w:ascii="Times New Roman" w:hAnsi="Times New Roman"/>
          <w:color w:val="222222"/>
          <w:sz w:val="24"/>
        </w:rPr>
        <w:t>Утиліта dcpromo.exe (Domain Controller Promoter) — це спеціалізований майстер та системна утиліта Microsoft, призначена для перетворення рядового сервера (Member Server або Standalone Server) на контролер домену Active Directory, або навпаки — пониження контролера домену до звичайного сервера (Demotion). Утиліта виконує генерацію або підключення до лісу, створення інтегрованих зон DNS, формування розділів каталогу NTDS.dit та ініціалізацію реплікації SYSVOL.</w:t>
      </w:r>
    </w:p>
    <w:p>
      <w:pPr>
        <w:keepNext/>
        <w:spacing w:before="280" w:after="120"/>
      </w:pPr>
      <w:r>
        <w:rPr>
          <w:rFonts w:ascii="Times New Roman" w:hAnsi="Times New Roman"/>
          <w:b/>
          <w:color w:val="1B365D"/>
          <w:sz w:val="30"/>
        </w:rPr>
        <w:t>4. Висновки</w:t>
      </w:r>
    </w:p>
    <w:p>
      <w:pPr>
        <w:spacing w:line="276" w:lineRule="auto" w:after="120"/>
        <w:jc w:val="both"/>
      </w:pPr>
      <w:r>
        <w:rPr>
          <w:rFonts w:ascii="Times New Roman" w:hAnsi="Times New Roman"/>
          <w:color w:val="222222"/>
          <w:sz w:val="24"/>
        </w:rPr>
        <w:t>Під час виконання лабораторної роботи №5 було успішно розгорнуто повну доменну інфраструктуру підприємства на базі контролера домену Windows Server 2008 R2 Standard (Server.office.com) та клієнтської станції Windows 10 Pro у віртуалізованому середовищі Oracle VM VirtualBox. В процесі роботи:</w:t>
        <w:br/>
        <w:t>1. Набуто практичних навичок проектування мережевої архітектури: призначено статичні адреси серверу, розгорнуто та авторизовано службу динамічної роздачі адрес DHCP Server з пулом 192.168.1.1–192.168.1.200, налаштовано діапазони виключень, резервування IP-адреси шлюзу (192.168.1.4) та глобальні опції маршрутизації (Router, DNS Server, DNS Domain Name);</w:t>
        <w:br/>
        <w:t>2. За допомогою оснастки Active Directory Users and Computers (dsa.msc) створено організаційну структуру підрозділів (Керівники, Фінансисти, IT-спеціалісти, Групи, Комп'ютери, StudentSecurity), зареєстровано облікові записи працівників, організовано глобальні групи безпеки та делеговано адміністративні повноваження;</w:t>
        <w:br/>
        <w:t>3. Досліджено механізм функціонування об'єктів групової політики (GPO) через оснастку gpmc.msc: сформовано «Фінансову політику безпеки», що регулює параметри автоматичного блокування робочого столу екранною заставкою із захистом паролем через 600 секунд бездіяльності;</w:t>
        <w:br/>
        <w:t>4. Налаштовано багаторівневу систему розмежування прав доступу до файлових ресурсів на основі комбінації мережевих дозволів SMB та списків керування доступом NTFS ACL для папки C:\Офіс, змонтовано персональний мережевий диск P: для програміста;</w:t>
        <w:br/>
        <w:t>5. Експериментально підтверджено різницю між функціонуванням переміщуваного (Roaming) та обов'язкового (Mandatory / Ntuser.man) профілів, досліджено захист сеансу обов'язкового профілю від локальних змін;</w:t>
        <w:br/>
        <w:t>6. Перевірено взаємодію клієнтської машини Windows 10 з контролером домену, підтверджено отримання адреси 192.168.1.1 від DHCP-сервера та здійснено введення комп'ютера до домену office.com через графічний інтерфейс.</w:t>
      </w:r>
    </w:p>
    <w:sectPr w:rsidR="00FC693F" w:rsidRPr="0006063C" w:rsidSect="00034616">
      <w:pgSz w:w="12240" w:h="15840"/>
      <w:pgMar w:top="1138" w:right="850"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