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НАКАЗ командира 160 окремої механізованої бригади</w:t>
      </w:r>
    </w:p>
    <w:p>
      <w:r>
        <w:t>15 січня 2026 року № 100, м. Київ</w:t>
      </w:r>
    </w:p>
    <w:p>
      <w:pPr>
        <w:pStyle w:val="Heading1"/>
      </w:pPr>
      <w:r>
        <w:t>ВИТЯГ З НАКАЗУ № б-н</w:t>
      </w:r>
    </w:p>
    <w:p>
      <w:r>
        <w:t>Призначено для: Волинський ОТЦК та СП</w:t>
        <w:br/>
      </w:r>
    </w:p>
    <w:p>
      <w:r>
        <w:rPr>
          <w:b/>
        </w:rPr>
        <w:t>§ 2</w:t>
      </w:r>
    </w:p>
    <w:p>
      <w:r>
        <w:t>1. Капітана Петренка Петра Петровича направити до Ковельського районного територіального центру комплектування та соціальної підтримки Волинської області.</w:t>
        <w:br/>
        <w:t>Підстава: припис РТЦК.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