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інформаційних технологій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комп’ютерних систем і мереж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«Основи академічного письма»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 «Технічне оформлення наукового тексту»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 ст. гр. КН-26-1:</w:t>
      </w:r>
    </w:p>
    <w:p>
      <w:pPr>
        <w:spacing w:after="0" w:before="0" w:line="360" w:lineRule="auto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Бойчук Андрій Анатолійович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Викладач:</w:t>
      </w:r>
    </w:p>
    <w:p>
      <w:pPr>
        <w:spacing w:after="0" w:before="0" w:line="360" w:lineRule="auto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Судук Ірина Ігорівна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м. Івано-Франківськ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r>
        <w:br w:type="page"/>
      </w:r>
    </w:p>
    <w:p>
      <w:pPr>
        <w:keepNext/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РОЗДІЛ 1</w:t>
      </w:r>
    </w:p>
    <w:p>
      <w:pPr>
        <w:keepNext/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ТЕХНОЛОГІЯ РОЗРОБКИ КОМП’ЮТЕРНИХ ПРОГРАМ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Архітектура цифрового комп’ютера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ЕОМ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електронна обчислювальна машина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що здатна виконувати обчислювальні задачі будь-якої складності за наявності відповідної програми.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Усе забезпечення комп’ютера ділиться на дві частини: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апаратну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програмну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 апаратного забезпечення належать пристрої й прилади, що утворюють апаратну конфігурацію. Сучасні комп’ютери й обчислювальні комплекси мають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блоково-модульну конструкцію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Основний блок персонального комп’ютера (ПК) – системний блок. Він містить блок електроживлення, кріпильні елементи для материнської (системної) плати, електронних плат і дисководів [2].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Архітектурою комп’ютера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називають склад і взаємозв’язок основних пристроїв комп’ютера. Найбільш поширеною є архітектура, зображена на рис. 1.1, що відповідає принципам, які заклав Дж. фон Нейман (принстонська архітектура). За цією концепцією, щоб комп’ютер був ефективним і універсальним інструментом, він має включати такі компоненти: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арифметико-логічний пристрій;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пристрій управління;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запам’ятовувальний пристрій (пам’ять);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пристрої уведення-виведення інформації [2].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before="0" w:line="240" w:lineRule="auto"/>
        <w:jc w:val="center"/>
      </w:pPr>
      <w:r>
        <w:drawing>
          <wp:inline distT="0" distB="0" distL="0" distR="0">
            <wp:extent cx="37719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1.1 – Архітектура комп’ютера фон Неймана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Арифметико-логічний пристрій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виконує арифметичні та логічні перетворення даних, що надходять до нього [2]. Наприклад, зчитування команди з комірки пам’яті A, зчитування даних з комірки пам’яті B, додавання двох чисел, віднімання, ділення, запис результату в комірку C тощо.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Пристрій управління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автоматично керує процесом оброблення інформації, посилаючи всім іншим пристроям сигнали про виконання тих чи інших дій [2].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Сукупність арифметико-логічного пристрою та пристрою управління називають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процесором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або CPU (Central Processing Unit).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Дж. фон Нейман також відзначав, що «комп’ютер має працювати з двійковими числами, бути електронним, а не механічним пристроєм, і виконувати операції послідовно одну за одною» [3, с. 4].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Типізація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операція призначення типу інформаційним сутностям. Для різних мов програмування виділяють різні види типізації: статична/динамічна, сильна/слабка (табл. 2.2).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2.2 – Групування мов програмування за типізацією</w:t>
      </w:r>
    </w:p>
    <w:tbl>
      <w:tblPr>
        <w:tblW w:type="dxa" w:w="992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307"/>
        <w:gridCol w:w="3307"/>
        <w:gridCol w:w="3307"/>
      </w:tblGrid>
      <w:tr>
        <w:trPr>
          <w:cantSplit/>
        </w:trPr>
        <w:tc>
          <w:tcPr>
            <w:tcW w:type="dxa" w:w="33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Типізація</w:t>
            </w:r>
          </w:p>
        </w:tc>
        <w:tc>
          <w:tcPr>
            <w:tcW w:type="dxa" w:w="33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Статична</w:t>
            </w:r>
          </w:p>
        </w:tc>
        <w:tc>
          <w:tcPr>
            <w:tcW w:type="dxa" w:w="33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Динамічна</w:t>
            </w:r>
          </w:p>
        </w:tc>
      </w:tr>
      <w:tr>
        <w:trPr>
          <w:cantSplit/>
        </w:trPr>
        <w:tc>
          <w:tcPr>
            <w:tcW w:type="dxa" w:w="33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Сильна</w:t>
            </w:r>
          </w:p>
        </w:tc>
        <w:tc>
          <w:tcPr>
            <w:tcW w:type="dxa" w:w="33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C#, Java</w:t>
            </w:r>
          </w:p>
        </w:tc>
        <w:tc>
          <w:tcPr>
            <w:tcW w:type="dxa" w:w="33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Python, Ruby</w:t>
            </w:r>
          </w:p>
        </w:tc>
      </w:tr>
      <w:tr>
        <w:trPr>
          <w:cantSplit/>
        </w:trPr>
        <w:tc>
          <w:tcPr>
            <w:tcW w:type="dxa" w:w="33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Слабка</w:t>
            </w:r>
          </w:p>
        </w:tc>
        <w:tc>
          <w:tcPr>
            <w:tcW w:type="dxa" w:w="33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</w:t>
            </w:r>
          </w:p>
        </w:tc>
        <w:tc>
          <w:tcPr>
            <w:tcW w:type="dxa" w:w="33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JavaScript, PHP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Математичний вираз ефекту масштабу має такий вигляд [26]: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tabs>
          <w:tab w:val="center" w:pos="4961"/>
          <w:tab w:val="right" w:pos="9921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M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(1.1)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left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синергійний ефект економічної системи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-го порядку;</w:t>
      </w:r>
    </w:p>
    <w:p>
      <w:pPr>
        <w:spacing w:after="0" w:before="0" w:line="360" w:lineRule="auto"/>
        <w:ind w:left="39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M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масштаби (величина, розміри) економічної системи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-го порядку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 = 1, …, 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</w:t>
      </w:r>
    </w:p>
    <w:p>
      <w:r>
        <w:br w:type="pag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ПЕРЕЛІК ВНЕСЕНИХ ВИПРАВЛЕНЬ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before="12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Технічне оформлення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текст набрано шрифтом Times New Roman 14 пт з полуторним міжрядковим інтервалом, абзацний відступ – 1,25 см, вирівнювання за шириною; береги: лівий – 25 мм, правий – 10 мм, верхній і нижній – по 20 мм; сторінки пронумеровано арабськими цифрами в правому верхньому куті без крапки, титульний аркуш включено до нумерації без проставлення номера;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заголовок розділу надруковано великими літерами напівжирним шрифтом посередині рядка, слово «РОЗДІЛ» із номером – окремим рядком; заголовок підрозділу – з абзацного відступу з великої літери; крапку в кінці заголовків не поставлено; між заголовками й текстом залишено по одному вільному рядку;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у переліку компонентів ужито тире, елементи починаються з малої літери й відокремлюються крапкою з комою, останній закінчується крапкою;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рисунок розміщено посередині сторінки після першого покликання на нього; підпис «Рисунок 1.1 – Архітектура комп’ютера фон Неймана» подано під рисунком посередині (замість «Рис. 1.1. …» з крапками); у покликанні на рисунок додано крапку після скорочення («рис. 1.1»); напис «Керуючий пристрій» на рисунку замінено на «Пристрій управління», як у тексті;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назву таблиці подано над таблицею зліва, в одному рядку з номером через тире й з великої літери: «Таблиця 2.2 – Групування мов програмування за типізацією»; заголовки граф починаються з великої літери, порожню ліву верхню клітинку заповнено заголовком «Типізація»;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формулу записано окремим рядком посередині, її номер (1.1) – у круглих дужках біля правого берега; вище й нижче формули залишено вільні рядки; розірване речення перед формулою об’єднано; позначення записано латиницею курсивом із нижніми індексами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M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замість суміші кирилиці й латиниці;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пояснення символів подано безпосередньо під формулою в порядку їх появи, перший рядок починається словом «де» без двокрапки, кожен символ пояснено з нового рядка; запис «і = 1,… n» виправлено на «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 = 1, …, 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однозначне число без одиниці виміру записано словом («двох чисел»), позначення комірок пам’яті подано однаково латиницею (A, B, C);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означувані терміни виділено курсивом.</w:t>
      </w:r>
    </w:p>
    <w:p>
      <w:pPr>
        <w:keepNext/>
        <w:spacing w:after="0" w:before="12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Покликання на джерела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покликання «(Джерело: 2)» замінено на номер джерела в квадратних дужках – [2]; зайвий пробіл перед крапкою вилучено, крапку поставлено після покликання;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покликання «(Нейман, с. 4)» замінено на [3, с. 4]: номер джерела й сторінку подано в квадратних дужках через кому; номер 3 умовний – праця Дж. фон Неймана згадується в тексті після джерела 2, тому за порядком появи посилань отримує наступний номер у списку використаних джерел;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покликання [26] перенесено в речення, яке вводить формулу, щоб воно стосувалося самої формули.</w:t>
      </w:r>
    </w:p>
    <w:p>
      <w:pPr>
        <w:keepNext/>
        <w:spacing w:after="0" w:before="12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Виправлення у виділених фрагментах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«За цією концепцією щоб комп’ютер був ефективним і універсальним інструментом він має…» → «За цією концепцією, щоб комп’ютер був ефективним і універсальним інструментом, він має…» – підрядне речення мети, що стоїть усередині складного речення, виділено комами з обох боків;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«запам’ятовуючий пристрій чи пам’ять» → «запам’ятовувальний пристрій (пам’ять)» – активні дієприкметники на -учий, -ючий не властиві українській мові, їх замінюють прикметниками на -вальний;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«має наступну форму» → «має такий вигляд» – слово «наступний» означає «який іде слідом», тому перед поясненням або переліком ужито займенник «такий».</w:t>
      </w:r>
    </w:p>
    <w:p>
      <w:pPr>
        <w:keepNext/>
        <w:spacing w:after="0" w:before="12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Уведення цитати (останній фрагмент)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цитата після сполучника «що» стає частиною речення, тому її перше слово написано з малої літери: «…відзначав, що «комп’ютер має працювати…»»;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покликання поставлено одразу після закривних лапок, а крапку – після покликання: «…одну за одною» [3, с. 4];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повне ім’я автора замінено ініціалом перед прізвищем: «Джон фон Нейман» → «Дж. фон Нейман».</w:t>
      </w:r>
    </w:p>
    <w:p>
      <w:pPr>
        <w:keepNext/>
        <w:spacing w:after="0" w:before="12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Інші мовні огріхи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«До апаратного забезпечення відносяться» → «належать»; «пристрої і прилади» → «пристрої й прилади» (милозвучність);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«архітектура зображена на рис 1.1, що…» → «архітектура, зображена на рис. 1.1, що…» – дієприкметниковий зворот після означуваного слова відокремлено комами;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«які були закладені Джоном фон Нейманом» → «які заклав Дж. фон Нейман»; «прінстонська» → «принстонська» (від назви міста Принстон);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«складення 2 чисел» → «додавання двох чисел»; «та інші» → «тощо».</w:t>
      </w:r>
    </w:p>
    <w:sectPr>
      <w:headerReference w:type="default" r:id="rId6"/>
      <w:headerReference w:type="first" r:id="rId7"/>
      <w:pgSz w:w="11906" w:h="16838" w:orient="portrait"/>
      <w:pgMar w:top="1134" w:right="567" w:bottom="1134" w:left="1418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theme" Target="theme/theme1.xml"/><Relationship Id="rId9" Type="http://schemas.openxmlformats.org/officeDocument/2006/relationships/image" Target="media/0e2d5fe6ae6add0b51073d4c0a4c8b357f5861e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Технічне оформлення наукового тексту</dc:title>
  <dc:creator>Andrii Boichuk</dc:creator>
  <cp:lastModifiedBy>Andrii Boichuk</cp:lastModifiedBy>
  <cp:revision>1</cp:revision>
  <dcterms:created xsi:type="dcterms:W3CDTF">2026-10-12T18:12:31.462Z</dcterms:created>
  <dcterms:modified xsi:type="dcterms:W3CDTF">2026-10-12T18:12:31.464Z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