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alias w:val="Зміст"/>
        <w:id w:val="1628278477"/>
      </w:sdtPr>
      <w:sdtContent>
        <w:p w:rsidR="00057299" w:rsidRDefault="00000000">
          <w:r>
            <w:fldChar w:fldCharType="begin"/>
          </w:r>
          <w:r>
            <w:instrText>TOC \h \o "1-2" \t "Heading1,1,Heading2,2"</w:instrText>
          </w:r>
          <w:r>
            <w:fldChar w:fldCharType="separate"/>
          </w:r>
        </w:p>
        <w:p w:rsidR="00057299" w:rsidRDefault="00000000">
          <w:r>
            <w:fldChar w:fldCharType="end"/>
          </w:r>
        </w:p>
      </w:sdtContent>
    </w:sdt>
    <w:p w:rsidR="00057299" w:rsidRDefault="00000000">
      <w:pPr>
        <w:pStyle w:val="Heading1"/>
        <w:spacing w:before="240" w:after="120"/>
      </w:pPr>
      <w:r>
        <w:rPr>
          <w:rFonts w:eastAsia="Times New Roman"/>
        </w:rPr>
        <w:t>Лекція 1. Вступ до квантових обчислень</w:t>
      </w:r>
    </w:p>
    <w:p w:rsidR="00057299" w:rsidRDefault="00057299"/>
    <w:p w:rsidR="00057299" w:rsidRDefault="00000000">
      <w:pPr>
        <w:pStyle w:val="Heading2"/>
        <w:spacing w:before="200" w:after="100"/>
        <w:ind w:firstLine="567"/>
      </w:pPr>
      <w:r>
        <w:rPr>
          <w:rFonts w:eastAsia="Times New Roman"/>
        </w:rPr>
        <w:t>Вступ</w:t>
      </w:r>
    </w:p>
    <w:p w:rsidR="00057299" w:rsidRDefault="00000000">
      <w:pPr>
        <w:ind w:firstLine="567"/>
        <w:jc w:val="both"/>
      </w:pPr>
      <w:r>
        <w:rPr>
          <w:rFonts w:ascii="Open Sans" w:hAnsi="Open Sans" w:cs="Open Sans"/>
          <w:sz w:val="26"/>
          <w:szCs w:val="26"/>
        </w:rPr>
        <w:t>Квантові обчислення — це нова парадигма обробки інформації, яка використовує принципи квантової механіки — суперпозицію, заплутаність та інтерференцію. На відміну від класичних комп’ютерів, які оперують бітами (0 або 1), квантові комп’ютери використовують кубіти, які можуть перебувати одночасно у багатьох станах. Це відкриває можливість експоненціального прискорення для певних класів задач, серед яких особливе місце займають криптографічні задачі — факторизація цілих чисел та дискретне логарифмування.</w:t>
      </w:r>
    </w:p>
    <w:p w:rsidR="00057299" w:rsidRDefault="00000000">
      <w:pPr>
        <w:ind w:firstLine="567"/>
        <w:jc w:val="both"/>
      </w:pPr>
      <w:r>
        <w:rPr>
          <w:rFonts w:ascii="Open Sans" w:hAnsi="Open Sans" w:cs="Open Sans"/>
          <w:sz w:val="26"/>
          <w:szCs w:val="26"/>
        </w:rPr>
        <w:t>Загроза «Harvest Now, Decrypt Later» (HNDL) робить підготовку до постквантової епохи нагальною. Сутність полягає в тому, що зловмисники вже зараз перехоплюють зашифрований трафік і зберігають його, розраховуючи розшифрувати за допомогою квантового комп’ютера у майбутньому. Це особливо небезпечно для даних, що повинні залишатися конфіденційними протягом десятиріч: державні таємниці, медичні записи, інтелектуальна власність, банківські транзакції. Тому перехід на постквантові алгоритми потрібний не коли квантовий комп’ютер буде створений, а вже зараз.</w:t>
      </w:r>
    </w:p>
    <w:p w:rsidR="00057299" w:rsidRDefault="00000000">
      <w:pPr>
        <w:ind w:firstLine="567"/>
        <w:jc w:val="both"/>
      </w:pPr>
      <w:r>
        <w:rPr>
          <w:rFonts w:ascii="Open Sans" w:hAnsi="Open Sans" w:cs="Open Sans"/>
          <w:sz w:val="26"/>
          <w:szCs w:val="26"/>
        </w:rPr>
        <w:t>Актуальність квантових обчислень підтверджується значними інвестиціями урядів та корпорацій. США (National Quantum Initiative Act, 2018), ЄС (Quantum Flagship, €1 млрд), Китай ($15 млрд до 2030) змагаються за лідерство. Компанії IBM, Google, Microsoft, Amazon, IonQ, Rigetti розвивають квантові платформи. Прогноз McKinsey: ринок квантових обчислень сягне $65 млрд до 2030 року.</w:t>
      </w:r>
    </w:p>
    <w:p w:rsidR="00057299" w:rsidRDefault="00000000">
      <w:pPr>
        <w:ind w:firstLine="567"/>
        <w:jc w:val="both"/>
      </w:pPr>
      <w:r>
        <w:rPr>
          <w:rFonts w:ascii="Open Sans" w:hAnsi="Open Sans" w:cs="Open Sans"/>
          <w:sz w:val="26"/>
          <w:szCs w:val="26"/>
        </w:rPr>
        <w:t>У цій лекції розглянемо п'ять ключових тем: (I) основні поняття кубітів, суперпозиції та заплутаності; (II) математичний формалізм — сфера Блоха та квантові вентилі; (III) порівняння квантових і класичних обчислень, клас BQP, обмеження NISQ; (IV) хронологію розвитку від Фейнмана до Google Sycamore; (V) криптографічне значення алгоритмів Шора та Гровера, процес стандартизації NIST PQC та практичну міграцію.</w:t>
      </w:r>
    </w:p>
    <w:p w:rsidR="00057299" w:rsidRDefault="00057299"/>
    <w:p w:rsidR="00610F0F" w:rsidRDefault="00610F0F">
      <w:pPr>
        <w:rPr>
          <w:rFonts w:ascii="Open Sans" w:hAnsi="Open Sans" w:cs="Open Sans"/>
          <w:b/>
          <w:bCs/>
          <w:sz w:val="26"/>
          <w:szCs w:val="26"/>
        </w:rPr>
      </w:pPr>
      <w:r>
        <w:br w:type="page"/>
      </w:r>
    </w:p>
    <w:p w:rsidR="00057299" w:rsidRDefault="00000000">
      <w:pPr>
        <w:pStyle w:val="Heading2"/>
        <w:spacing w:before="200" w:after="100"/>
        <w:ind w:firstLine="567"/>
      </w:pPr>
      <w:r>
        <w:rPr>
          <w:rFonts w:eastAsia="Times New Roman"/>
        </w:rPr>
        <w:lastRenderedPageBreak/>
        <w:t>I. Основні поняття: кубіт, суперпозиція, заплутаність</w:t>
      </w:r>
    </w:p>
    <w:p w:rsidR="00057299" w:rsidRDefault="00000000">
      <w:pPr>
        <w:ind w:firstLine="567"/>
        <w:jc w:val="both"/>
      </w:pPr>
      <w:r>
        <w:rPr>
          <w:rFonts w:ascii="Open Sans" w:hAnsi="Open Sans" w:cs="Open Sans"/>
          <w:sz w:val="26"/>
          <w:szCs w:val="26"/>
        </w:rPr>
        <w:t>Класичний біт — найменша одиниця інформації у сучасних комп’ютерах. Він приймає одне з двох значень: 0 або 1. Булева логіка та логічні вентилі (AND, OR, NOT, XOR) забезпечують детерміновані обчислення: однакові вхідні дані завжди дають однаковий результат. Класичні комп’ютери обробляють дані послідовно (або з обмеженим апаратним паралелізмом), а масштабування обчислювальної потужності є лінійним: додавання n бітів лише подвоює кількість можливих станів на 2n.</w:t>
      </w:r>
    </w:p>
    <w:p w:rsidR="00057299" w:rsidRDefault="00000000">
      <w:pPr>
        <w:ind w:firstLine="567"/>
        <w:jc w:val="both"/>
      </w:pPr>
      <w:r>
        <w:rPr>
          <w:rFonts w:ascii="Open Sans" w:hAnsi="Open Sans" w:cs="Open Sans"/>
          <w:sz w:val="26"/>
          <w:szCs w:val="26"/>
        </w:rPr>
        <w:t>Кубіт (quantum bit) — фундаментальна одиниця квантової інформації. На відміну від класичного біта, кубіт може перебувати у суперпозиції обох станів одночасно. Фізично кубіт реалізується різними способами: надпровідні схеми (IBM, Google), захоплені іони (IonQ, Honeywell), фотонні системи (Xanadu), нейтральні атоми, топологічні кубіти (Microsoft). Математично стан кубіта описується вектором у двовимірному комплексному гільбертовому просторі ℂ², де базисні стани |0⟩ і |1⟩ відповідають колонковим векторам:</w:t>
      </w:r>
    </w:p>
    <w:p w:rsidR="00057299" w:rsidRDefault="00000000">
      <w:pPr>
        <w:spacing w:before="120" w:after="120"/>
        <w:jc w:val="center"/>
      </w:pPr>
      <w:r>
        <w:rPr>
          <w:rFonts w:ascii="Open Sans" w:hAnsi="Open Sans" w:cs="Open Sans"/>
          <w:i/>
          <w:iCs/>
          <w:sz w:val="26"/>
          <w:szCs w:val="26"/>
        </w:rPr>
        <w:t>|0⟩ = [1, 0]ᵀ,   |1⟩ = [0, 1]ᵀ</w:t>
      </w:r>
    </w:p>
    <w:p w:rsidR="00057299" w:rsidRDefault="00000000">
      <w:pPr>
        <w:ind w:firstLine="567"/>
        <w:jc w:val="both"/>
      </w:pPr>
      <w:r>
        <w:rPr>
          <w:rFonts w:ascii="Open Sans" w:hAnsi="Open Sans" w:cs="Open Sans"/>
          <w:sz w:val="26"/>
          <w:szCs w:val="26"/>
        </w:rPr>
        <w:t>Нотація Дірака (bra-ket) — стандартний запис у квантовій механіці. Символ |ψ⟩ («ket») позначає вектор стовпці, ⟨ψ| («bra») — спряжений вектор рядок. Скалярний добуток ⟨φ|ψ⟩ дає комплексне число (amplitude overlap). Зовнішній добуток |ψ⟩⟨φ| дає оператор. Тензорний добуток |a⟩ ⊗ |b⟩ (скорочено |ab⟩) описує складену систему двох кубітів.</w:t>
      </w:r>
    </w:p>
    <w:p w:rsidR="00057299" w:rsidRDefault="00000000">
      <w:pPr>
        <w:ind w:firstLine="567"/>
        <w:jc w:val="both"/>
      </w:pPr>
      <w:r>
        <w:rPr>
          <w:rFonts w:ascii="Open Sans" w:hAnsi="Open Sans" w:cs="Open Sans"/>
          <w:sz w:val="26"/>
          <w:szCs w:val="26"/>
        </w:rPr>
        <w:t>Фізичні реалізації кубітів мають різні переваги:</w:t>
      </w:r>
    </w:p>
    <w:p w:rsidR="00057299" w:rsidRDefault="00057299"/>
    <w:tbl>
      <w:tblPr>
        <w:tblW w:w="93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1939"/>
        <w:gridCol w:w="2331"/>
        <w:gridCol w:w="2509"/>
        <w:gridCol w:w="2575"/>
      </w:tblGrid>
      <w:tr w:rsidR="00057299">
        <w:tblPrEx>
          <w:tblCellMar>
            <w:top w:w="0" w:type="dxa"/>
            <w:bottom w:w="0" w:type="dxa"/>
          </w:tblCellMar>
        </w:tblPrEx>
        <w:tc>
          <w:tcPr>
            <w:tcW w:w="2000" w:type="dxa"/>
            <w:shd w:val="solid" w:color="BDD7EE" w:fill="BDD7EE"/>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b/>
                <w:bCs/>
                <w:sz w:val="26"/>
                <w:szCs w:val="26"/>
              </w:rPr>
              <w:t>Технологія</w:t>
            </w:r>
          </w:p>
        </w:tc>
        <w:tc>
          <w:tcPr>
            <w:tcW w:w="2500" w:type="dxa"/>
            <w:shd w:val="solid" w:color="BDD7EE" w:fill="BDD7EE"/>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b/>
                <w:bCs/>
                <w:sz w:val="26"/>
                <w:szCs w:val="26"/>
              </w:rPr>
              <w:t>Компанія</w:t>
            </w:r>
          </w:p>
        </w:tc>
        <w:tc>
          <w:tcPr>
            <w:tcW w:w="2600" w:type="dxa"/>
            <w:shd w:val="solid" w:color="BDD7EE" w:fill="BDD7EE"/>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b/>
                <w:bCs/>
                <w:sz w:val="26"/>
                <w:szCs w:val="26"/>
              </w:rPr>
              <w:t>Переваги</w:t>
            </w:r>
          </w:p>
        </w:tc>
        <w:tc>
          <w:tcPr>
            <w:tcW w:w="2254" w:type="dxa"/>
            <w:shd w:val="solid" w:color="BDD7EE" w:fill="BDD7EE"/>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b/>
                <w:bCs/>
                <w:sz w:val="26"/>
                <w:szCs w:val="26"/>
              </w:rPr>
              <w:t>Недоліки</w:t>
            </w:r>
          </w:p>
        </w:tc>
      </w:tr>
      <w:tr w:rsidR="00057299">
        <w:tblPrEx>
          <w:tblCellMar>
            <w:top w:w="0" w:type="dxa"/>
            <w:bottom w:w="0" w:type="dxa"/>
          </w:tblCellMar>
        </w:tblPrEx>
        <w:tc>
          <w:tcPr>
            <w:tcW w:w="20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Надпровідні схеми</w:t>
            </w:r>
          </w:p>
        </w:tc>
        <w:tc>
          <w:tcPr>
            <w:tcW w:w="25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IBM, Google</w:t>
            </w:r>
          </w:p>
        </w:tc>
        <w:tc>
          <w:tcPr>
            <w:tcW w:w="26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Швидкі вентилі (~20 нс)</w:t>
            </w:r>
          </w:p>
        </w:tc>
        <w:tc>
          <w:tcPr>
            <w:tcW w:w="2254"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Потребують охолодження ~15 мК</w:t>
            </w:r>
          </w:p>
        </w:tc>
      </w:tr>
      <w:tr w:rsidR="00057299">
        <w:tblPrEx>
          <w:tblCellMar>
            <w:top w:w="0" w:type="dxa"/>
            <w:bottom w:w="0" w:type="dxa"/>
          </w:tblCellMar>
        </w:tblPrEx>
        <w:tc>
          <w:tcPr>
            <w:tcW w:w="20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Захоплені іони</w:t>
            </w:r>
          </w:p>
        </w:tc>
        <w:tc>
          <w:tcPr>
            <w:tcW w:w="25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IonQ, Quantinuum</w:t>
            </w:r>
          </w:p>
        </w:tc>
        <w:tc>
          <w:tcPr>
            <w:tcW w:w="26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Висока точність вентилів (&gt;99.5%)</w:t>
            </w:r>
          </w:p>
        </w:tc>
        <w:tc>
          <w:tcPr>
            <w:tcW w:w="2254"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Повільні вентилі (~μs)</w:t>
            </w:r>
          </w:p>
        </w:tc>
      </w:tr>
      <w:tr w:rsidR="00057299">
        <w:tblPrEx>
          <w:tblCellMar>
            <w:top w:w="0" w:type="dxa"/>
            <w:bottom w:w="0" w:type="dxa"/>
          </w:tblCellMar>
        </w:tblPrEx>
        <w:tc>
          <w:tcPr>
            <w:tcW w:w="20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Фотонні системи</w:t>
            </w:r>
          </w:p>
        </w:tc>
        <w:tc>
          <w:tcPr>
            <w:tcW w:w="25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Xanadu, PsiQuantum</w:t>
            </w:r>
          </w:p>
        </w:tc>
        <w:tc>
          <w:tcPr>
            <w:tcW w:w="26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Кімнатна температура</w:t>
            </w:r>
          </w:p>
        </w:tc>
        <w:tc>
          <w:tcPr>
            <w:tcW w:w="2254"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Складна корекція помилок</w:t>
            </w:r>
          </w:p>
        </w:tc>
      </w:tr>
      <w:tr w:rsidR="00057299">
        <w:tblPrEx>
          <w:tblCellMar>
            <w:top w:w="0" w:type="dxa"/>
            <w:bottom w:w="0" w:type="dxa"/>
          </w:tblCellMar>
        </w:tblPrEx>
        <w:tc>
          <w:tcPr>
            <w:tcW w:w="20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lastRenderedPageBreak/>
              <w:t>Нейтральні атоми</w:t>
            </w:r>
          </w:p>
        </w:tc>
        <w:tc>
          <w:tcPr>
            <w:tcW w:w="25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QuEra, Pasqal</w:t>
            </w:r>
          </w:p>
        </w:tc>
        <w:tc>
          <w:tcPr>
            <w:tcW w:w="26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Добре масштабування</w:t>
            </w:r>
          </w:p>
        </w:tc>
        <w:tc>
          <w:tcPr>
            <w:tcW w:w="2254"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Нова технологія</w:t>
            </w:r>
          </w:p>
        </w:tc>
      </w:tr>
      <w:tr w:rsidR="00057299">
        <w:tblPrEx>
          <w:tblCellMar>
            <w:top w:w="0" w:type="dxa"/>
            <w:bottom w:w="0" w:type="dxa"/>
          </w:tblCellMar>
        </w:tblPrEx>
        <w:tc>
          <w:tcPr>
            <w:tcW w:w="20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Топологічні</w:t>
            </w:r>
          </w:p>
        </w:tc>
        <w:tc>
          <w:tcPr>
            <w:tcW w:w="25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Microsoft</w:t>
            </w:r>
          </w:p>
        </w:tc>
        <w:tc>
          <w:tcPr>
            <w:tcW w:w="26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Вбудована стійкість до помилок</w:t>
            </w:r>
          </w:p>
        </w:tc>
        <w:tc>
          <w:tcPr>
            <w:tcW w:w="2254"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Експериментальна стадія</w:t>
            </w:r>
          </w:p>
        </w:tc>
      </w:tr>
    </w:tbl>
    <w:p w:rsidR="00057299" w:rsidRDefault="00057299"/>
    <w:p w:rsidR="00057299" w:rsidRDefault="00000000">
      <w:pPr>
        <w:ind w:firstLine="567"/>
        <w:jc w:val="both"/>
      </w:pPr>
      <w:r>
        <w:rPr>
          <w:rFonts w:ascii="Open Sans" w:hAnsi="Open Sans" w:cs="Open Sans"/>
          <w:sz w:val="26"/>
          <w:szCs w:val="26"/>
        </w:rPr>
        <w:t>Суперпозиція — центральний принцип квантової механіки. Загальний стан кубіта записується у нотації Дірака (bra-ket):</w:t>
      </w:r>
    </w:p>
    <w:p w:rsidR="00057299" w:rsidRDefault="00000000">
      <w:pPr>
        <w:spacing w:before="120" w:after="120"/>
        <w:jc w:val="center"/>
      </w:pPr>
      <w:r>
        <w:rPr>
          <w:rFonts w:ascii="Open Sans" w:hAnsi="Open Sans" w:cs="Open Sans"/>
          <w:i/>
          <w:iCs/>
          <w:sz w:val="26"/>
          <w:szCs w:val="26"/>
        </w:rPr>
        <w:t>|ψ⟩ = α|0⟩ + β|1⟩,   де  |α|² + |β|² = 1</w:t>
      </w:r>
    </w:p>
    <w:p w:rsidR="00057299" w:rsidRDefault="00000000">
      <w:pPr>
        <w:ind w:firstLine="567"/>
        <w:jc w:val="both"/>
      </w:pPr>
      <w:r>
        <w:rPr>
          <w:rFonts w:ascii="Open Sans" w:hAnsi="Open Sans" w:cs="Open Sans"/>
          <w:sz w:val="26"/>
          <w:szCs w:val="26"/>
        </w:rPr>
        <w:t>Комплексні амплітуди α та β визначають ймовірності вимірювання: |α|² — ймовірність отримати 0, |β|² — ймовірність отримати 1. Умова нормалізації |α|² + |β|² = 1 гарантує, що сума всіх ймовірностей дорівнює одиниці. Після вимірювання суперпозиція руйнується (колапс хвильової функції), і кубіт переходить у один із базисних станів. Цей процес є незворотним і вносить принципову відмінність між квантовою та класичною інформацією.</w:t>
      </w:r>
    </w:p>
    <w:p w:rsidR="00057299" w:rsidRDefault="00000000">
      <w:pPr>
        <w:ind w:firstLine="567"/>
        <w:jc w:val="both"/>
      </w:pPr>
      <w:r>
        <w:rPr>
          <w:rFonts w:ascii="Open Sans" w:hAnsi="Open Sans" w:cs="Open Sans"/>
          <w:sz w:val="26"/>
          <w:szCs w:val="26"/>
        </w:rPr>
        <w:t>Приклад: вентиль Адамара (H) створює рівномірну суперпозицію, де обидва результати рівноймовірні (P = 50%):</w:t>
      </w:r>
    </w:p>
    <w:p w:rsidR="00057299" w:rsidRDefault="00000000">
      <w:pPr>
        <w:spacing w:before="120" w:after="120"/>
        <w:jc w:val="center"/>
      </w:pPr>
      <w:r>
        <w:rPr>
          <w:rFonts w:ascii="Open Sans" w:hAnsi="Open Sans" w:cs="Open Sans"/>
          <w:i/>
          <w:iCs/>
          <w:sz w:val="26"/>
          <w:szCs w:val="26"/>
        </w:rPr>
        <w:t>H|0⟩ = |+⟩ = (|0⟩ + |1⟩) / √2</w:t>
      </w:r>
    </w:p>
    <w:p w:rsidR="00057299" w:rsidRDefault="00000000">
      <w:pPr>
        <w:spacing w:before="120" w:after="120"/>
        <w:jc w:val="center"/>
      </w:pPr>
      <w:r>
        <w:rPr>
          <w:rFonts w:ascii="Open Sans" w:hAnsi="Open Sans" w:cs="Open Sans"/>
          <w:i/>
          <w:iCs/>
          <w:sz w:val="26"/>
          <w:szCs w:val="26"/>
        </w:rPr>
        <w:t>H|1⟩ = |−⟩ = (|0⟩ − |1⟩) / √2</w:t>
      </w:r>
    </w:p>
    <w:p w:rsidR="00057299" w:rsidRDefault="00000000">
      <w:pPr>
        <w:ind w:firstLine="567"/>
        <w:jc w:val="both"/>
      </w:pPr>
      <w:r>
        <w:rPr>
          <w:rFonts w:ascii="Open Sans" w:hAnsi="Open Sans" w:cs="Open Sans"/>
          <w:sz w:val="26"/>
          <w:szCs w:val="26"/>
        </w:rPr>
        <w:t>Для системи з n кубітів суперпозиція розширюється експоненціально. Загальний стан n-кубітної системи описується вектором у просторі розмірності 2^n. Наприклад, 3 кубіти одночасно представляють 2³ = 8 станів, 10 кубітів — 1024 стани, 50 кубітів — понад 10¹⁵ станів, що перевищує можливості будь-якого класичного суперкомп’ютера.</w:t>
      </w:r>
    </w:p>
    <w:p w:rsidR="00057299" w:rsidRDefault="00000000">
      <w:pPr>
        <w:ind w:firstLine="567"/>
        <w:jc w:val="both"/>
      </w:pPr>
      <w:r>
        <w:rPr>
          <w:rFonts w:ascii="Open Sans" w:hAnsi="Open Sans" w:cs="Open Sans"/>
          <w:sz w:val="26"/>
          <w:szCs w:val="26"/>
        </w:rPr>
        <w:t>Квантова заплутаність (entanglement) — явище, при якому квантові стани двох або більше частинок не можна описати незалежно один від одного. Формально: стан |ψ⟩ ∈ ℂ² ⊗ ℂ² є заплутаним, якщо його не можна представити як тензорний добуток |ψ⟩ ≠ |a⟩ ⊗ |b⟩. Вимірювання одного кубіта миттєво визначає стан іншого, незалежно від відстані між ними — це явище називають нелокальністю.</w:t>
      </w:r>
    </w:p>
    <w:p w:rsidR="00057299" w:rsidRDefault="00000000">
      <w:pPr>
        <w:ind w:firstLine="567"/>
        <w:jc w:val="both"/>
      </w:pPr>
      <w:r>
        <w:rPr>
          <w:rFonts w:ascii="Open Sans" w:hAnsi="Open Sans" w:cs="Open Sans"/>
          <w:sz w:val="26"/>
          <w:szCs w:val="26"/>
        </w:rPr>
        <w:t>Чотири максимально заплутані стани двох кубітів називаються станами Белла. Вони утворюють ортонормований базис у просторі двох кубітів:</w:t>
      </w:r>
    </w:p>
    <w:p w:rsidR="00057299" w:rsidRDefault="00000000">
      <w:pPr>
        <w:spacing w:before="120" w:after="120"/>
        <w:jc w:val="center"/>
      </w:pPr>
      <w:r>
        <w:rPr>
          <w:rFonts w:ascii="Open Sans" w:hAnsi="Open Sans" w:cs="Open Sans"/>
          <w:i/>
          <w:iCs/>
          <w:sz w:val="26"/>
          <w:szCs w:val="26"/>
        </w:rPr>
        <w:lastRenderedPageBreak/>
        <w:t>|Φ⁺⟩ = (|00⟩ + |11⟩)/√2   —   вимірювання корельовані: обидва кубіти завжди однакові</w:t>
      </w:r>
    </w:p>
    <w:p w:rsidR="00057299" w:rsidRDefault="00000000">
      <w:pPr>
        <w:spacing w:before="120" w:after="120"/>
        <w:jc w:val="center"/>
      </w:pPr>
      <w:r>
        <w:rPr>
          <w:rFonts w:ascii="Open Sans" w:hAnsi="Open Sans" w:cs="Open Sans"/>
          <w:i/>
          <w:iCs/>
          <w:sz w:val="26"/>
          <w:szCs w:val="26"/>
        </w:rPr>
        <w:t>|Φ⁻⟩ = (|00⟩ − |11⟩)/√2   —   аналогічно, але з від’ємною фазою</w:t>
      </w:r>
    </w:p>
    <w:p w:rsidR="00057299" w:rsidRDefault="00000000">
      <w:pPr>
        <w:spacing w:before="120" w:after="120"/>
        <w:jc w:val="center"/>
      </w:pPr>
      <w:r>
        <w:rPr>
          <w:rFonts w:ascii="Open Sans" w:hAnsi="Open Sans" w:cs="Open Sans"/>
          <w:i/>
          <w:iCs/>
          <w:sz w:val="26"/>
          <w:szCs w:val="26"/>
        </w:rPr>
        <w:t>|Ψ⁺⟩ = (|01⟩ + |10⟩)/√2   —   антикорельовані: кубіти завжди протилежні</w:t>
      </w:r>
    </w:p>
    <w:p w:rsidR="00057299" w:rsidRDefault="00000000">
      <w:pPr>
        <w:spacing w:before="120" w:after="120"/>
        <w:jc w:val="center"/>
      </w:pPr>
      <w:r>
        <w:rPr>
          <w:rFonts w:ascii="Open Sans" w:hAnsi="Open Sans" w:cs="Open Sans"/>
          <w:i/>
          <w:iCs/>
          <w:sz w:val="26"/>
          <w:szCs w:val="26"/>
        </w:rPr>
        <w:t>|Ψ⁻⟩ = (|01⟩ − |10⟩)/√2   —   синглетний стан</w:t>
      </w:r>
    </w:p>
    <w:p w:rsidR="00057299" w:rsidRDefault="00000000">
      <w:pPr>
        <w:ind w:firstLine="567"/>
        <w:jc w:val="both"/>
      </w:pPr>
      <w:r>
        <w:rPr>
          <w:rFonts w:ascii="Open Sans" w:hAnsi="Open Sans" w:cs="Open Sans"/>
          <w:sz w:val="26"/>
          <w:szCs w:val="26"/>
        </w:rPr>
        <w:t>Парадокс Ейнштейна—Подольського—Розена (EPR, 1935) поставив під сумнів повноту квантової механіки, стверджуючи, що існують приховані змінні, які наперед визначають результати вимірювань. Теорема Белла (1964) довела, що будь-яка теорія прихованих змінних передбачає кореляції, які задовольняють нерівності Белла (CHSH нерівність: S ≤ 2). Експерименти Алена Аспе (1982), а пізніше лауреатів Нобелівської премії 2022 року (Аспе, Клаузер, Цайлінгер), показали порушення цих нерівностей (S ≈ 2.8 &gt; 2), підтвердивши нелокальність природи.</w:t>
      </w:r>
    </w:p>
    <w:p w:rsidR="00057299" w:rsidRDefault="00000000">
      <w:pPr>
        <w:ind w:firstLine="567"/>
        <w:jc w:val="both"/>
      </w:pPr>
      <w:r>
        <w:rPr>
          <w:rFonts w:ascii="Open Sans" w:hAnsi="Open Sans" w:cs="Open Sans"/>
          <w:sz w:val="26"/>
          <w:szCs w:val="26"/>
        </w:rPr>
        <w:t>Заплутаність має ключове значення для квантових технологій: квантова телепортація (передача квантового стану без фізичного перенесення частинки), квантовий розподіл ключів (QKD, протокол BB84 і E91), квантова корекція помилок, квантова зверхщільна густота кодування (superdense coding). Без заплутаності більшість квантових алгоритмів втрачають свою перевагу над класичними.</w:t>
      </w:r>
    </w:p>
    <w:p w:rsidR="00057299" w:rsidRDefault="00000000">
      <w:pPr>
        <w:ind w:firstLine="567"/>
        <w:jc w:val="both"/>
      </w:pPr>
      <w:r>
        <w:rPr>
          <w:rFonts w:ascii="Open Sans" w:hAnsi="Open Sans" w:cs="Open Sans"/>
          <w:sz w:val="26"/>
          <w:szCs w:val="26"/>
        </w:rPr>
        <w:t>Но-клонінг теорема (no-cloning theorem) стверджує, що неможливо створити точну копію невідомого квантового стану. Це одночасно обмеження (неможливо копіювати квантову інформацію для резервного копіювання) і перевага (підслуховувач не може непомітно скопіювати квантовий ключ, що є основою безпеки QKD).</w:t>
      </w:r>
    </w:p>
    <w:p w:rsidR="00057299" w:rsidRDefault="00057299"/>
    <w:p w:rsidR="00057299" w:rsidRDefault="00000000">
      <w:pPr>
        <w:ind w:firstLine="567"/>
        <w:jc w:val="both"/>
      </w:pPr>
      <w:r>
        <w:rPr>
          <w:rFonts w:ascii="Open Sans" w:hAnsi="Open Sans" w:cs="Open Sans"/>
          <w:sz w:val="26"/>
          <w:szCs w:val="26"/>
        </w:rPr>
        <w:t>Квантова інтерференція є механізмом, завдяки якому квантові алгоритми досягають прискорення. Принцип полягає у тому, що амплітуди ймовірностей (комплексні числа) складаються алгебраїчно, а не самі ймовірності. Якщо амплітуди двох шляхів мають однаковий знак — відбувається конструктивна інтерференція (ймовірність зростає), якщо протилежний — деструктивна (ймовірність спадає до нуля). Класичні комп'ютери маніпулюють ймовірностями, які завжди невід'ємні; квантові — амплітудами, що допускають взаємне знищення.</w:t>
      </w:r>
    </w:p>
    <w:p w:rsidR="00057299" w:rsidRDefault="00000000">
      <w:pPr>
        <w:ind w:firstLine="567"/>
        <w:jc w:val="both"/>
      </w:pPr>
      <w:r>
        <w:rPr>
          <w:rFonts w:ascii="Open Sans" w:hAnsi="Open Sans" w:cs="Open Sans"/>
          <w:sz w:val="26"/>
          <w:szCs w:val="26"/>
        </w:rPr>
        <w:t xml:space="preserve">Аналогія з дослідом Юнга з двома щілинами допомагає збагнути природу явища: електрон, проходячи через дві щілини одночасно (квантовий паралелізм), утворює інтерференційний візерунок на екрані. Спроба з'ясувати, через яку щілину пройшов електрон (вимірювання), </w:t>
      </w:r>
      <w:r>
        <w:rPr>
          <w:rFonts w:ascii="Open Sans" w:hAnsi="Open Sans" w:cs="Open Sans"/>
          <w:sz w:val="26"/>
          <w:szCs w:val="26"/>
        </w:rPr>
        <w:lastRenderedPageBreak/>
        <w:t>руйнує інтерференцію — і на екрані виникають два окремі піки, як у класичному випадку. Так само у квантовому алгоритмі: будь-яке проміжне вимірювання зруйнує суперпозицію і позбавить алгоритм переваги.</w:t>
      </w:r>
    </w:p>
    <w:p w:rsidR="00057299" w:rsidRDefault="00000000">
      <w:pPr>
        <w:ind w:firstLine="567"/>
        <w:jc w:val="both"/>
      </w:pPr>
      <w:r>
        <w:rPr>
          <w:rFonts w:ascii="Open Sans" w:hAnsi="Open Sans" w:cs="Open Sans"/>
          <w:sz w:val="26"/>
          <w:szCs w:val="26"/>
        </w:rPr>
        <w:t>Математично інтерференція реалізується через вентиль Адамара (H). Застосований до |0⟩, він створює рівномірну суперпозицію: H|0⟩ = (|0⟩ + |1⟩)/√2. Повторне застосування H відновлює початковий стан: H²= I. Якщо між двома операціями H вставити фазовий вентиль Z (HZH = X), різниця фаз між компонентами |0⟩ та |1⟩ змінює результат — це і є інтерференція, перетворена на корисні обчислення. Алгоритм Дойча демонструє цей принцип у найпростішому вигляді: одне звернення до оракулу замість двох у класичному випадку.</w:t>
      </w:r>
    </w:p>
    <w:p w:rsidR="00057299" w:rsidRDefault="00000000">
      <w:pPr>
        <w:ind w:firstLine="567"/>
        <w:jc w:val="both"/>
      </w:pPr>
      <w:r>
        <w:rPr>
          <w:rFonts w:ascii="Open Sans" w:hAnsi="Open Sans" w:cs="Open Sans"/>
          <w:sz w:val="26"/>
          <w:szCs w:val="26"/>
        </w:rPr>
        <w:t>Квантова телепортація (Bennett et al., 1993) є одним із найважливіших застосувань заплутаності та інтерференції. Протокол дозволяє передати невідомий квантовий стан |ψ⟩ = α|0⟩ + β|1⟩ від Аліси до Боба, не передаючи фізичну частинку. Умови: Аліса і Боб заздалегідь поділяють пару Белла (EPR-пара). Кроки: (1) Аліса виконує вимірювання Белла на своєму кубіті разом із кубітом стану |ψ⟩, отримуючи 2 класичних біти; (2) вона надсилає ці 2 біти класичним каналом; (3) Боб залежно від отриманих бітів застосовує корекційний вентиль (I, X, Z або XZ) — і відтворює |ψ⟩. Важливо: телепортація не передає інформацію швидше за світло, оскільки класичний канал обмежений швидкістю світла.</w:t>
      </w:r>
    </w:p>
    <w:p w:rsidR="00057299" w:rsidRDefault="00000000">
      <w:pPr>
        <w:ind w:firstLine="567"/>
        <w:jc w:val="both"/>
      </w:pPr>
      <w:r>
        <w:rPr>
          <w:rFonts w:ascii="Open Sans" w:hAnsi="Open Sans" w:cs="Open Sans"/>
          <w:sz w:val="26"/>
          <w:szCs w:val="26"/>
        </w:rPr>
        <w:t>Суперщільне кодування (superdense coding, Bennett &amp; Wiesner, 1992) є дзеркальним протоколом: Аліса передає 2 класичних біти, надсилаючи лише 1 кубіт (за умови спільної EPR-пари). Залежно від того, які 2 біти вона хоче передати (00, 01, 10, 11), вона застосовує до свого кубіту один із чотирьох вентилів (I, X, Z, XZ), а потім надсилає кубіт Бобу. Боб виконує вимірювання Белла і однозначно визначає 2 передані біти. Ця процедура є фундаментальним прикладом того, як заплутаність збільшує інформаційну ємність квантового каналу.</w:t>
      </w:r>
    </w:p>
    <w:p w:rsidR="00610F0F" w:rsidRPr="00610F0F" w:rsidRDefault="00000000" w:rsidP="00610F0F">
      <w:pPr>
        <w:ind w:firstLine="567"/>
        <w:jc w:val="both"/>
      </w:pPr>
      <w:r>
        <w:rPr>
          <w:rFonts w:ascii="Open Sans" w:hAnsi="Open Sans" w:cs="Open Sans"/>
          <w:sz w:val="26"/>
          <w:szCs w:val="26"/>
        </w:rPr>
        <w:t>Квантовий розподіл ключів (QKD) використовує квантові принципи для забезпечення теоретично абсолютної секретності. Протокол BB84 (Bennett &amp; Brassard, 1984) базується на тому, що вимірювання квантового стану незворотно змінює його: будь-яка спроба підслуховування залишає статистично виявні сліди. Аліса надсилає кубіти у чотирьох базисах (|0⟩, |1⟩, |+⟩, |−⟩), Боб вимірює у випадкових базисах, після чого вони порівнюють вибір базисів через відкритий канал і залишають лише збіги. Протокол E91 (Екерт, 1991) замість BB84 використовує пари Белла — порушення нерівностей Белла гарантує відсутність підслуховувача.</w:t>
      </w:r>
      <w:r w:rsidR="00610F0F">
        <w:br w:type="page"/>
      </w:r>
    </w:p>
    <w:p w:rsidR="00057299" w:rsidRDefault="00000000">
      <w:pPr>
        <w:pStyle w:val="Heading2"/>
        <w:spacing w:before="200" w:after="100"/>
        <w:ind w:firstLine="567"/>
      </w:pPr>
      <w:r>
        <w:rPr>
          <w:rFonts w:eastAsia="Times New Roman"/>
        </w:rPr>
        <w:lastRenderedPageBreak/>
        <w:t>II. Математичний формалізм: сфера Блоха, квантові вентилі</w:t>
      </w:r>
    </w:p>
    <w:p w:rsidR="00057299" w:rsidRDefault="00000000">
      <w:pPr>
        <w:ind w:firstLine="567"/>
        <w:jc w:val="both"/>
      </w:pPr>
      <w:r>
        <w:rPr>
          <w:rFonts w:ascii="Open Sans" w:hAnsi="Open Sans" w:cs="Open Sans"/>
          <w:sz w:val="26"/>
          <w:szCs w:val="26"/>
        </w:rPr>
        <w:t>Сфера Блоха — геометричне представлення чистого стану одного кубіта. Кожна точка на поверхні одиничної сфери відповідає певному квантовому стану. Параметризація здійснюється двома кутами — полярним θ та азимутальним φ:</w:t>
      </w:r>
    </w:p>
    <w:p w:rsidR="00057299" w:rsidRDefault="00000000">
      <w:pPr>
        <w:spacing w:before="120" w:after="120"/>
        <w:jc w:val="center"/>
      </w:pPr>
      <w:r>
        <w:rPr>
          <w:rFonts w:ascii="Open Sans" w:hAnsi="Open Sans" w:cs="Open Sans"/>
          <w:i/>
          <w:iCs/>
          <w:sz w:val="26"/>
          <w:szCs w:val="26"/>
        </w:rPr>
        <w:t>|ψ⟩ = cos(θ/2)|0⟩ + e^(iφ) sin(θ/2)|1⟩,  θ ∈ [0,π], φ ∈ [0,2π)</w:t>
      </w:r>
    </w:p>
    <w:p w:rsidR="00057299" w:rsidRDefault="00000000">
      <w:pPr>
        <w:ind w:firstLine="567"/>
        <w:jc w:val="both"/>
      </w:pPr>
      <w:r>
        <w:rPr>
          <w:rFonts w:ascii="Open Sans" w:hAnsi="Open Sans" w:cs="Open Sans"/>
          <w:sz w:val="26"/>
          <w:szCs w:val="26"/>
        </w:rPr>
        <w:t>Північний полюс (θ=0) відповідає |0⟩, південний (θ=π) — |1⟩. Екваторіальна площина містить суперпозиції з рівними амплітудами: |+⟩ на осі +X (φ=0), |−⟩ на осі −X (φ=π), |i⟩ на осі +Y (φ=π/2), |−i⟩ на осі −Y (φ=3π/2). Сфера Блоха особливо корисна для візуалізації дії квантових вентилів: кожний вентиль відповідає обертанню навколо певної осі.</w:t>
      </w:r>
    </w:p>
    <w:p w:rsidR="00057299" w:rsidRDefault="00000000">
      <w:pPr>
        <w:ind w:firstLine="567"/>
        <w:jc w:val="both"/>
      </w:pPr>
      <w:r>
        <w:rPr>
          <w:rFonts w:ascii="Open Sans" w:hAnsi="Open Sans" w:cs="Open Sans"/>
          <w:sz w:val="26"/>
          <w:szCs w:val="26"/>
        </w:rPr>
        <w:t>Вектор Блоха r = (r_x, r_y, r_z) можна обчислити через матрицю густини ρ: r_x = Tr(ρσ_x), r_y = Tr(ρσ_y), r_z = Tr(ρσ_z), де σ_x, σ_y, σ_z — матриці Паулі. Для чистого стану |r| = 1 (точка на поверхні), для змішаного — |r| &lt; 1 (внутрішня точка). Центр сфери (r = 0) відповідає повністю змішаному стану ρ = I/2.</w:t>
      </w:r>
    </w:p>
    <w:p w:rsidR="00057299" w:rsidRDefault="00000000">
      <w:pPr>
        <w:ind w:firstLine="567"/>
        <w:jc w:val="both"/>
      </w:pPr>
      <w:r>
        <w:rPr>
          <w:rFonts w:ascii="Open Sans" w:hAnsi="Open Sans" w:cs="Open Sans"/>
          <w:sz w:val="26"/>
          <w:szCs w:val="26"/>
        </w:rPr>
        <w:t>Квантові вентилі — унітарні оператори U, для яких UU† = U†U = I. Унітарність гарантує зворотність усіх квантових операцій (на відміну від класичних, де AND та OR незворотні) та збереження норми вектора стану. Основні однокубітні вентилі подано у таблиці:</w:t>
      </w:r>
    </w:p>
    <w:p w:rsidR="00057299" w:rsidRDefault="00057299"/>
    <w:tbl>
      <w:tblPr>
        <w:tblW w:w="93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2000"/>
        <w:gridCol w:w="2800"/>
        <w:gridCol w:w="2300"/>
        <w:gridCol w:w="2254"/>
      </w:tblGrid>
      <w:tr w:rsidR="00057299">
        <w:tblPrEx>
          <w:tblCellMar>
            <w:top w:w="0" w:type="dxa"/>
            <w:bottom w:w="0" w:type="dxa"/>
          </w:tblCellMar>
        </w:tblPrEx>
        <w:tc>
          <w:tcPr>
            <w:tcW w:w="2000" w:type="dxa"/>
            <w:shd w:val="solid" w:color="BDD7EE" w:fill="BDD7EE"/>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b/>
                <w:bCs/>
                <w:sz w:val="26"/>
                <w:szCs w:val="26"/>
              </w:rPr>
              <w:t>Вентиль</w:t>
            </w:r>
          </w:p>
        </w:tc>
        <w:tc>
          <w:tcPr>
            <w:tcW w:w="2800" w:type="dxa"/>
            <w:shd w:val="solid" w:color="BDD7EE" w:fill="BDD7EE"/>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b/>
                <w:bCs/>
                <w:sz w:val="26"/>
                <w:szCs w:val="26"/>
              </w:rPr>
              <w:t>Матриця</w:t>
            </w:r>
          </w:p>
        </w:tc>
        <w:tc>
          <w:tcPr>
            <w:tcW w:w="2300" w:type="dxa"/>
            <w:shd w:val="solid" w:color="BDD7EE" w:fill="BDD7EE"/>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b/>
                <w:bCs/>
                <w:sz w:val="26"/>
                <w:szCs w:val="26"/>
              </w:rPr>
              <w:t>Дія</w:t>
            </w:r>
          </w:p>
        </w:tc>
        <w:tc>
          <w:tcPr>
            <w:tcW w:w="2254" w:type="dxa"/>
            <w:shd w:val="solid" w:color="BDD7EE" w:fill="BDD7EE"/>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b/>
                <w:bCs/>
                <w:sz w:val="26"/>
                <w:szCs w:val="26"/>
              </w:rPr>
              <w:t>На сфері Блоха</w:t>
            </w:r>
          </w:p>
        </w:tc>
      </w:tr>
      <w:tr w:rsidR="00057299">
        <w:tblPrEx>
          <w:tblCellMar>
            <w:top w:w="0" w:type="dxa"/>
            <w:bottom w:w="0" w:type="dxa"/>
          </w:tblCellMar>
        </w:tblPrEx>
        <w:tc>
          <w:tcPr>
            <w:tcW w:w="20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Pauli-X (NOT)</w:t>
            </w:r>
          </w:p>
        </w:tc>
        <w:tc>
          <w:tcPr>
            <w:tcW w:w="28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[[0,1],[1,0]]</w:t>
            </w:r>
          </w:p>
        </w:tc>
        <w:tc>
          <w:tcPr>
            <w:tcW w:w="23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|0⟩ ↔ |1⟩</w:t>
            </w:r>
          </w:p>
        </w:tc>
        <w:tc>
          <w:tcPr>
            <w:tcW w:w="2254"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Обертання навк. осі X на π</w:t>
            </w:r>
          </w:p>
        </w:tc>
      </w:tr>
      <w:tr w:rsidR="00057299">
        <w:tblPrEx>
          <w:tblCellMar>
            <w:top w:w="0" w:type="dxa"/>
            <w:bottom w:w="0" w:type="dxa"/>
          </w:tblCellMar>
        </w:tblPrEx>
        <w:tc>
          <w:tcPr>
            <w:tcW w:w="20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Pauli-Y</w:t>
            </w:r>
          </w:p>
        </w:tc>
        <w:tc>
          <w:tcPr>
            <w:tcW w:w="28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[[0,−i],[i,0]]</w:t>
            </w:r>
          </w:p>
        </w:tc>
        <w:tc>
          <w:tcPr>
            <w:tcW w:w="23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i·(X·Z)</w:t>
            </w:r>
          </w:p>
        </w:tc>
        <w:tc>
          <w:tcPr>
            <w:tcW w:w="2254"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Обертання навк. осі Y на π</w:t>
            </w:r>
          </w:p>
        </w:tc>
      </w:tr>
      <w:tr w:rsidR="00057299">
        <w:tblPrEx>
          <w:tblCellMar>
            <w:top w:w="0" w:type="dxa"/>
            <w:bottom w:w="0" w:type="dxa"/>
          </w:tblCellMar>
        </w:tblPrEx>
        <w:tc>
          <w:tcPr>
            <w:tcW w:w="20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Pauli-Z</w:t>
            </w:r>
          </w:p>
        </w:tc>
        <w:tc>
          <w:tcPr>
            <w:tcW w:w="28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[[1,0],[0,−1]]</w:t>
            </w:r>
          </w:p>
        </w:tc>
        <w:tc>
          <w:tcPr>
            <w:tcW w:w="23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|1⟩ → −|1⟩</w:t>
            </w:r>
          </w:p>
        </w:tc>
        <w:tc>
          <w:tcPr>
            <w:tcW w:w="2254"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Обертання навк. осі Z на π</w:t>
            </w:r>
          </w:p>
        </w:tc>
      </w:tr>
      <w:tr w:rsidR="00057299">
        <w:tblPrEx>
          <w:tblCellMar>
            <w:top w:w="0" w:type="dxa"/>
            <w:bottom w:w="0" w:type="dxa"/>
          </w:tblCellMar>
        </w:tblPrEx>
        <w:tc>
          <w:tcPr>
            <w:tcW w:w="20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Hadamard (H)</w:t>
            </w:r>
          </w:p>
        </w:tc>
        <w:tc>
          <w:tcPr>
            <w:tcW w:w="28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1/√2 [[1,1],[1,−1]]</w:t>
            </w:r>
          </w:p>
        </w:tc>
        <w:tc>
          <w:tcPr>
            <w:tcW w:w="23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|0⟩→|+⟩, |1⟩→|−⟩</w:t>
            </w:r>
          </w:p>
        </w:tc>
        <w:tc>
          <w:tcPr>
            <w:tcW w:w="2254"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Поворот 135° (Z→X)</w:t>
            </w:r>
          </w:p>
        </w:tc>
      </w:tr>
      <w:tr w:rsidR="00057299">
        <w:tblPrEx>
          <w:tblCellMar>
            <w:top w:w="0" w:type="dxa"/>
            <w:bottom w:w="0" w:type="dxa"/>
          </w:tblCellMar>
        </w:tblPrEx>
        <w:tc>
          <w:tcPr>
            <w:tcW w:w="20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S (фаза 90°)</w:t>
            </w:r>
          </w:p>
        </w:tc>
        <w:tc>
          <w:tcPr>
            <w:tcW w:w="28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[[1,0],[0,i]]</w:t>
            </w:r>
          </w:p>
        </w:tc>
        <w:tc>
          <w:tcPr>
            <w:tcW w:w="23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Фазовий зсув π/2</w:t>
            </w:r>
          </w:p>
        </w:tc>
        <w:tc>
          <w:tcPr>
            <w:tcW w:w="2254"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Поворот навк. Z на 90°</w:t>
            </w:r>
          </w:p>
        </w:tc>
      </w:tr>
      <w:tr w:rsidR="00057299">
        <w:tblPrEx>
          <w:tblCellMar>
            <w:top w:w="0" w:type="dxa"/>
            <w:bottom w:w="0" w:type="dxa"/>
          </w:tblCellMar>
        </w:tblPrEx>
        <w:tc>
          <w:tcPr>
            <w:tcW w:w="20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lastRenderedPageBreak/>
              <w:t>T (фаза 45°)</w:t>
            </w:r>
          </w:p>
        </w:tc>
        <w:tc>
          <w:tcPr>
            <w:tcW w:w="28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[[1,0],[0,e^{iπ/4}]]</w:t>
            </w:r>
          </w:p>
        </w:tc>
        <w:tc>
          <w:tcPr>
            <w:tcW w:w="23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Фазовий зсув π/4</w:t>
            </w:r>
          </w:p>
        </w:tc>
        <w:tc>
          <w:tcPr>
            <w:tcW w:w="2254"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Поворот навк. Z на 45°</w:t>
            </w:r>
          </w:p>
        </w:tc>
      </w:tr>
    </w:tbl>
    <w:p w:rsidR="00057299" w:rsidRDefault="00057299"/>
    <w:p w:rsidR="00057299" w:rsidRDefault="00000000">
      <w:pPr>
        <w:ind w:firstLine="567"/>
        <w:jc w:val="both"/>
      </w:pPr>
      <w:r>
        <w:rPr>
          <w:rFonts w:ascii="Open Sans" w:hAnsi="Open Sans" w:cs="Open Sans"/>
          <w:sz w:val="26"/>
          <w:szCs w:val="26"/>
        </w:rPr>
        <w:t>Приклад дії вентилів: застосування H до |0⟩ дає рівномірну суперпозицію: H|0⟩ = (|0⟩ + |1⟩)/√2. Подвійне застосування H повертає початковий стан: HH|0⟩ = |0⟩, що ілюструє зворотність. Комбінація HZH = X показує, як вентилі пов’язані між собою через зміну базису.</w:t>
      </w:r>
    </w:p>
    <w:p w:rsidR="00057299" w:rsidRDefault="00000000">
      <w:pPr>
        <w:ind w:firstLine="567"/>
        <w:jc w:val="both"/>
      </w:pPr>
      <w:r>
        <w:rPr>
          <w:rFonts w:ascii="Open Sans" w:hAnsi="Open Sans" w:cs="Open Sans"/>
          <w:sz w:val="26"/>
          <w:szCs w:val="26"/>
        </w:rPr>
        <w:t>Двокубітні вентилі діють на пару кубітів у просторі ℂ⁴. Найважливіший — CNOT (controlled-NOT): інвертує цільовий кубіт, коли керуючий = |1⟩. Таблиця істинності: |00⟩→|00⟩, |01⟩→|01⟩, |10⟩→|11⟩, |11⟩→|10⟩. CNOT є ключовим для створення заплутаності: H ⊗ I, потім CNOT перетворює |00⟩ в стан Белла |Φ⁺⟩.</w:t>
      </w:r>
    </w:p>
    <w:p w:rsidR="00057299" w:rsidRDefault="00000000">
      <w:pPr>
        <w:ind w:firstLine="567"/>
        <w:jc w:val="both"/>
      </w:pPr>
      <w:r>
        <w:rPr>
          <w:rFonts w:ascii="Open Sans" w:hAnsi="Open Sans" w:cs="Open Sans"/>
          <w:sz w:val="26"/>
          <w:szCs w:val="26"/>
        </w:rPr>
        <w:t>SWAP обмінює стани двох кубітів і реалізується через 3 послідовних CNOT. Toffoli (CCNOT) — трикубітний вентиль, що інвертує цільовий кубіт лише коли обидва керуючих = |1⟩. Він є універсальним для класичних зворотних обчислень, оскільки може реалізувати вентиль NAND (AND + NOT). Fredkin (CSWAP) — керований SWAP, що обмінює два кубіти лише коли керуючий = |1⟩.</w:t>
      </w:r>
    </w:p>
    <w:p w:rsidR="00057299" w:rsidRDefault="00000000">
      <w:pPr>
        <w:ind w:firstLine="567"/>
        <w:jc w:val="both"/>
      </w:pPr>
      <w:r>
        <w:rPr>
          <w:rFonts w:ascii="Open Sans" w:hAnsi="Open Sans" w:cs="Open Sans"/>
          <w:sz w:val="26"/>
          <w:szCs w:val="26"/>
        </w:rPr>
        <w:t>Квантова схема (circuit) — це послідовність квантових вентилів, застосованих до набору кубітів, з подальшим вимірюванням. Схема читається зліва направо: кожна горизонтальна лінія представляє кубіт, прямокутники на лініях — вентилі. Глибина схеми (depth) — кількість шарів вентилів, що виконуються послідовно. Ширина (width) — кількість кубітів. На сучасних NISQ-пристроях глибина обмежена ~100–300 шарами через декогеренцію.</w:t>
      </w:r>
    </w:p>
    <w:p w:rsidR="00057299" w:rsidRDefault="00000000">
      <w:pPr>
        <w:ind w:firstLine="567"/>
        <w:jc w:val="both"/>
      </w:pPr>
      <w:r>
        <w:rPr>
          <w:rFonts w:ascii="Open Sans" w:hAnsi="Open Sans" w:cs="Open Sans"/>
          <w:sz w:val="26"/>
          <w:szCs w:val="26"/>
        </w:rPr>
        <w:t>Приклад простої схеми для створення стану Белла: q0 —— [H] —— [•] —— [M]; q1 —————— [⊕] —— [M]. Застосовуємо вентиль Адамара до q0 (створюємо суперпозицію), потім CNOT з q0 на q1 (створюємо заплутаність). Результат: |Φ⁺⟩ = (|00⟩ + |11⟩)/√2. При вимірюванні отримуємо |00⟩ або |11⟩ з рівною ймовірністю 50%. Результати завжди корельовані — обидва кубіти однакові.</w:t>
      </w:r>
    </w:p>
    <w:p w:rsidR="00057299" w:rsidRDefault="00000000">
      <w:pPr>
        <w:ind w:firstLine="567"/>
        <w:jc w:val="both"/>
      </w:pPr>
      <w:r>
        <w:rPr>
          <w:rFonts w:ascii="Open Sans" w:hAnsi="Open Sans" w:cs="Open Sans"/>
          <w:sz w:val="26"/>
          <w:szCs w:val="26"/>
        </w:rPr>
        <w:t>У Qiskit (бібліотека IBM для квантових обчислень на Python) ця схема реалізується лише чотирма рядками коду: створити QuantumCircuit(2, 2), додати qc.h(0) і qc.cx(0, 1), закінчити qc.measure_all(). Модель квантової схеми (circuit model) є найпоширенішою моделлю квантових обчислень. Інші моделі: адіабатичні квантові обчислення (D-Wave), вимірювальні квантові обчислення (MBQC), топологічні квантові обчислення (Microsoft).</w:t>
      </w:r>
    </w:p>
    <w:p w:rsidR="00057299" w:rsidRDefault="00000000">
      <w:pPr>
        <w:ind w:firstLine="567"/>
        <w:jc w:val="both"/>
      </w:pPr>
      <w:r>
        <w:rPr>
          <w:rFonts w:ascii="Open Sans" w:hAnsi="Open Sans" w:cs="Open Sans"/>
          <w:sz w:val="26"/>
          <w:szCs w:val="26"/>
        </w:rPr>
        <w:lastRenderedPageBreak/>
        <w:t>Набір {H, T, CNOT} є універсальним для квантових обчислень: будь-яку унітарну операцію на n кубітах можна апроксимувати з довільною точністю послідовністю цих вентилів. Теорема Соловайа—Кітаєва гарантує, що для досягнення точності ε потрібно O(log³₁·⁵(1/ε)) елементарних вентилів — поліноміальне масштабування.</w:t>
      </w:r>
    </w:p>
    <w:p w:rsidR="00057299" w:rsidRDefault="00000000">
      <w:pPr>
        <w:ind w:firstLine="567"/>
        <w:jc w:val="both"/>
      </w:pPr>
      <w:r>
        <w:rPr>
          <w:rFonts w:ascii="Open Sans" w:hAnsi="Open Sans" w:cs="Open Sans"/>
          <w:sz w:val="26"/>
          <w:szCs w:val="26"/>
        </w:rPr>
        <w:t>Альтернативні універсальні набори: {H, S, T, CNOT}, {R_x, R_z, CNOT}, {√SWAP, однокубітні вентилі}. Вибір набору залежить від фізичної платформи: надпровідні кубіти (IBM) найкраще підтримують {CNOT, R_z, R_x, √X}, тоді як іонні пастки (IonQ) використовують нативний вентиль Mølmer–Sørensen.</w:t>
      </w:r>
    </w:p>
    <w:p w:rsidR="00057299" w:rsidRDefault="00057299"/>
    <w:p w:rsidR="00057299" w:rsidRDefault="00000000">
      <w:pPr>
        <w:ind w:firstLine="567"/>
        <w:jc w:val="both"/>
      </w:pPr>
      <w:r>
        <w:rPr>
          <w:rFonts w:ascii="Open Sans" w:hAnsi="Open Sans" w:cs="Open Sans"/>
          <w:sz w:val="26"/>
          <w:szCs w:val="26"/>
        </w:rPr>
        <w:t>Постулат вимірювання є одним із фундаментальних постулатів квантової механіки. Він стверджує: при вимірюванні спостережуваної A стан системи |ψ⟩ = Σᵢ cᵢ|aᵢ⟩ (де |aᵢ⟩ — власні вектори оператора A) проектується на один з власних векторів |aₖ⟩ з ймовірністю P(aₖ) = |cₖ|². Після вимірювання стан 'колапсує' до |aₖ⟩ — це так званий колапс хвильової функції. Середнє значення спостережуваної: ⟨A⟩ = ⟨ψ|A|ψ⟩ = Σᵢ |cᵢ|² aᵢ.</w:t>
      </w:r>
    </w:p>
    <w:p w:rsidR="00057299" w:rsidRDefault="00000000">
      <w:pPr>
        <w:spacing w:before="120" w:after="120"/>
        <w:jc w:val="center"/>
      </w:pPr>
      <w:r>
        <w:rPr>
          <w:rFonts w:ascii="Open Sans" w:hAnsi="Open Sans" w:cs="Open Sans"/>
          <w:i/>
          <w:iCs/>
          <w:sz w:val="26"/>
          <w:szCs w:val="26"/>
        </w:rPr>
        <w:t>P(aₖ) = |⟨aₖ|ψ⟩|²,   ⟨A⟩ = ⟨ψ|A|ψ⟩</w:t>
      </w:r>
    </w:p>
    <w:p w:rsidR="00057299" w:rsidRDefault="00000000">
      <w:pPr>
        <w:ind w:firstLine="567"/>
        <w:jc w:val="both"/>
      </w:pPr>
      <w:r>
        <w:rPr>
          <w:rFonts w:ascii="Open Sans" w:hAnsi="Open Sans" w:cs="Open Sans"/>
          <w:sz w:val="26"/>
          <w:szCs w:val="26"/>
        </w:rPr>
        <w:t>Проективні вимірювання (проекційні вимірювання фон Неймана) є найпростішим класом. Оператор вимірювання A = Σᵢ aᵢ Pᵢ, де Pᵢ = |aᵢ⟩⟨aᵢ| — проектори. Після вимірювання з результатом aₖ стан стає |aₖ⟩. Для кубіту стандартне обчислювальне вимірювання у базисі {|0⟩, |1⟩} є проективним: якщо |ψ⟩ = α|0⟩ + β|1⟩, то P(0) = |α|², P(1) = |β|².</w:t>
      </w:r>
    </w:p>
    <w:p w:rsidR="00057299" w:rsidRDefault="00000000">
      <w:pPr>
        <w:ind w:firstLine="567"/>
        <w:jc w:val="both"/>
      </w:pPr>
      <w:r>
        <w:rPr>
          <w:rFonts w:ascii="Open Sans" w:hAnsi="Open Sans" w:cs="Open Sans"/>
          <w:sz w:val="26"/>
          <w:szCs w:val="26"/>
        </w:rPr>
        <w:t>Узагальнені вимірювання (POVM — Positive Operator-Valued Measure) описують реалістичніші фізичні вимірювання, де відсутня ортогональність результатів. POVM задається набором {Mₘ}, де Σₘ Mₘ†Mₘ = I, і ймовірність результату m: P(m) = ⟨ψ|Mₘ†Mₘ|ψ⟩. POVM є важливими для квантової криптографії (оптимальне розрізнення квантових станів) та квантової томографії (відновлення невідомого стану за статистикою вимірювань).</w:t>
      </w:r>
    </w:p>
    <w:p w:rsidR="00057299" w:rsidRDefault="00000000">
      <w:pPr>
        <w:ind w:firstLine="567"/>
        <w:jc w:val="both"/>
      </w:pPr>
      <w:r>
        <w:rPr>
          <w:rFonts w:ascii="Open Sans" w:hAnsi="Open Sans" w:cs="Open Sans"/>
          <w:sz w:val="26"/>
          <w:szCs w:val="26"/>
        </w:rPr>
        <w:t>Матриця густини ρ описує як чисті (|ψ⟩⟨ψ|), так і змішані стани. Для чистого стану ρ² = ρ, Tr(ρ) = 1, Tr(ρ²) = 1. Для змішаного стану (статистична суміш чистих станів з імовірностями pᵢ): ρ = Σᵢ pᵢ |ψᵢ⟩⟨ψᵢ|, і Tr(ρ²) &lt; 1. Матриця густини є природним описом підсистеми заплутаної системи через часткове слідування: ρ_A = Tr_B(ρ_AB). Якщо ρ_AB — чистий заплутаний стан, то ρ_A — змішаний, що є мірою заплутаності (ентропія Фон Неймана: S(ρ) = −Tr(ρ log ρ)).</w:t>
      </w:r>
    </w:p>
    <w:p w:rsidR="00057299" w:rsidRDefault="00000000">
      <w:pPr>
        <w:ind w:firstLine="567"/>
        <w:jc w:val="both"/>
      </w:pPr>
      <w:r>
        <w:rPr>
          <w:rFonts w:ascii="Open Sans" w:hAnsi="Open Sans" w:cs="Open Sans"/>
          <w:sz w:val="26"/>
          <w:szCs w:val="26"/>
        </w:rPr>
        <w:t xml:space="preserve">Квантові схеми (quantum circuits) є основним обчислювальним формалізмом. Схема складається з n квантових провідників (wire), кожен з </w:t>
      </w:r>
      <w:r>
        <w:rPr>
          <w:rFonts w:ascii="Open Sans" w:hAnsi="Open Sans" w:cs="Open Sans"/>
          <w:sz w:val="26"/>
          <w:szCs w:val="26"/>
        </w:rPr>
        <w:lastRenderedPageBreak/>
        <w:t>яких несе один кубіт, та послідовності квантових вентилів. Глибина (depth) схеми — кількість вентилів у найдовшому шляху від входу до виходу; ширина (width) — кількість кубітів. Для NISQ-пристроїв критичним є глибина: сучасні надпровідникові процесори витримують ~100–300 двокубітних вентилів до незворотної помилки. Вентилі при виконанні мають накладатись у часі (паралельність): вентилі на різних кубітах можна виконувати одночасно.</w:t>
      </w:r>
    </w:p>
    <w:p w:rsidR="00057299" w:rsidRDefault="00000000">
      <w:pPr>
        <w:ind w:firstLine="567"/>
        <w:jc w:val="both"/>
      </w:pPr>
      <w:r>
        <w:rPr>
          <w:rFonts w:ascii="Open Sans" w:hAnsi="Open Sans" w:cs="Open Sans"/>
          <w:sz w:val="26"/>
          <w:szCs w:val="26"/>
        </w:rPr>
        <w:t>Модель вимірювального квантового обчислення (measurement-based QC, MBQC) є альтернативою до схемної моделі. У MBQC спершу готується так званий кластерний стан (cluster state) — сильно заплутаний багатокубітний стан на решітці. Після цього обчислення виконується послідовними адаптивними вимірюваннями окремих кубітів: вибір бази вимірювання відповідає логічній операції. MBQC особливо природний для фотонних квантових комп'ютерів (Xanadu, PsiQuantum), де вентилі важко реалізувати, але вимірювання є тривіальними.</w:t>
      </w:r>
    </w:p>
    <w:p w:rsidR="00057299" w:rsidRDefault="00057299"/>
    <w:p w:rsidR="009E300A" w:rsidRDefault="009E300A">
      <w:pPr>
        <w:rPr>
          <w:rFonts w:ascii="Open Sans" w:hAnsi="Open Sans" w:cs="Open Sans"/>
          <w:b/>
          <w:bCs/>
          <w:sz w:val="26"/>
          <w:szCs w:val="26"/>
        </w:rPr>
      </w:pPr>
      <w:r>
        <w:br w:type="page"/>
      </w:r>
    </w:p>
    <w:p w:rsidR="00057299" w:rsidRDefault="00000000">
      <w:pPr>
        <w:pStyle w:val="Heading2"/>
        <w:spacing w:before="200" w:after="100"/>
        <w:ind w:firstLine="567"/>
      </w:pPr>
      <w:r>
        <w:rPr>
          <w:rFonts w:eastAsia="Times New Roman"/>
        </w:rPr>
        <w:lastRenderedPageBreak/>
        <w:t>III. Квантові проти класичних обчислень</w:t>
      </w:r>
    </w:p>
    <w:p w:rsidR="00057299" w:rsidRDefault="00000000">
      <w:pPr>
        <w:ind w:firstLine="567"/>
        <w:jc w:val="both"/>
      </w:pPr>
      <w:r>
        <w:rPr>
          <w:rFonts w:ascii="Open Sans" w:hAnsi="Open Sans" w:cs="Open Sans"/>
          <w:sz w:val="26"/>
          <w:szCs w:val="26"/>
        </w:rPr>
        <w:t>Квантовий паралелізм — одна з ключових переваг квантових обчислень. Застосувавши вентиль Адамара до кожного з n кубітів, ми отримуємо рівномірну суперпозицію всіх 2^n можливих станів. Квантовий вентиль, застосований до цієї суперпозиції, діє одночасно на всі 2^n компоненти. Однак сам по собі паралелізм недостатній: результат вимірювання випадковий. Корисну інформацію можна витігнути лише завдяки конструктивній інтерференції — посиленню амплітуд правильних відповідей і придушенню хибних.</w:t>
      </w:r>
    </w:p>
    <w:p w:rsidR="00057299" w:rsidRDefault="00000000">
      <w:pPr>
        <w:ind w:firstLine="567"/>
        <w:jc w:val="both"/>
      </w:pPr>
      <w:r>
        <w:rPr>
          <w:rFonts w:ascii="Open Sans" w:hAnsi="Open Sans" w:cs="Open Sans"/>
          <w:sz w:val="26"/>
          <w:szCs w:val="26"/>
        </w:rPr>
        <w:t>Порівняння класичних та квантових обчислень подано у таблиці:</w:t>
      </w:r>
    </w:p>
    <w:p w:rsidR="00057299" w:rsidRDefault="00057299"/>
    <w:tbl>
      <w:tblPr>
        <w:tblW w:w="93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3000"/>
        <w:gridCol w:w="3100"/>
        <w:gridCol w:w="3254"/>
      </w:tblGrid>
      <w:tr w:rsidR="00057299">
        <w:tblPrEx>
          <w:tblCellMar>
            <w:top w:w="0" w:type="dxa"/>
            <w:bottom w:w="0" w:type="dxa"/>
          </w:tblCellMar>
        </w:tblPrEx>
        <w:tc>
          <w:tcPr>
            <w:tcW w:w="3000" w:type="dxa"/>
            <w:shd w:val="solid" w:color="BDD7EE" w:fill="BDD7EE"/>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b/>
                <w:bCs/>
                <w:sz w:val="26"/>
                <w:szCs w:val="26"/>
              </w:rPr>
              <w:t>Характеристика</w:t>
            </w:r>
          </w:p>
        </w:tc>
        <w:tc>
          <w:tcPr>
            <w:tcW w:w="3100" w:type="dxa"/>
            <w:shd w:val="solid" w:color="BDD7EE" w:fill="BDD7EE"/>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b/>
                <w:bCs/>
                <w:sz w:val="26"/>
                <w:szCs w:val="26"/>
              </w:rPr>
              <w:t>Класичне</w:t>
            </w:r>
          </w:p>
        </w:tc>
        <w:tc>
          <w:tcPr>
            <w:tcW w:w="3254" w:type="dxa"/>
            <w:shd w:val="solid" w:color="BDD7EE" w:fill="BDD7EE"/>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b/>
                <w:bCs/>
                <w:sz w:val="26"/>
                <w:szCs w:val="26"/>
              </w:rPr>
              <w:t>Квантове</w:t>
            </w:r>
          </w:p>
        </w:tc>
      </w:tr>
      <w:tr w:rsidR="00057299">
        <w:tblPrEx>
          <w:tblCellMar>
            <w:top w:w="0" w:type="dxa"/>
            <w:bottom w:w="0" w:type="dxa"/>
          </w:tblCellMar>
        </w:tblPrEx>
        <w:tc>
          <w:tcPr>
            <w:tcW w:w="30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Основна одиниця</w:t>
            </w:r>
          </w:p>
        </w:tc>
        <w:tc>
          <w:tcPr>
            <w:tcW w:w="31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Біт (0 або 1)</w:t>
            </w:r>
          </w:p>
        </w:tc>
        <w:tc>
          <w:tcPr>
            <w:tcW w:w="3254"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Кубіт (суперпозиція)</w:t>
            </w:r>
          </w:p>
        </w:tc>
      </w:tr>
      <w:tr w:rsidR="00057299">
        <w:tblPrEx>
          <w:tblCellMar>
            <w:top w:w="0" w:type="dxa"/>
            <w:bottom w:w="0" w:type="dxa"/>
          </w:tblCellMar>
        </w:tblPrEx>
        <w:tc>
          <w:tcPr>
            <w:tcW w:w="30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Операції</w:t>
            </w:r>
          </w:p>
        </w:tc>
        <w:tc>
          <w:tcPr>
            <w:tcW w:w="31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Логічні вентилі (AND/OR)</w:t>
            </w:r>
          </w:p>
        </w:tc>
        <w:tc>
          <w:tcPr>
            <w:tcW w:w="3254"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Унітарні оператори</w:t>
            </w:r>
          </w:p>
        </w:tc>
      </w:tr>
      <w:tr w:rsidR="00057299">
        <w:tblPrEx>
          <w:tblCellMar>
            <w:top w:w="0" w:type="dxa"/>
            <w:bottom w:w="0" w:type="dxa"/>
          </w:tblCellMar>
        </w:tblPrEx>
        <w:tc>
          <w:tcPr>
            <w:tcW w:w="30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Зворотність</w:t>
            </w:r>
          </w:p>
        </w:tc>
        <w:tc>
          <w:tcPr>
            <w:tcW w:w="31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AND, OR незворотні</w:t>
            </w:r>
          </w:p>
        </w:tc>
        <w:tc>
          <w:tcPr>
            <w:tcW w:w="3254"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Всі операції зворотні</w:t>
            </w:r>
          </w:p>
        </w:tc>
      </w:tr>
      <w:tr w:rsidR="00057299">
        <w:tblPrEx>
          <w:tblCellMar>
            <w:top w:w="0" w:type="dxa"/>
            <w:bottom w:w="0" w:type="dxa"/>
          </w:tblCellMar>
        </w:tblPrEx>
        <w:tc>
          <w:tcPr>
            <w:tcW w:w="30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Паралелізм</w:t>
            </w:r>
          </w:p>
        </w:tc>
        <w:tc>
          <w:tcPr>
            <w:tcW w:w="31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Апаратний (n ядер)</w:t>
            </w:r>
          </w:p>
        </w:tc>
        <w:tc>
          <w:tcPr>
            <w:tcW w:w="3254"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Квантовий (2^n станів)</w:t>
            </w:r>
          </w:p>
        </w:tc>
      </w:tr>
      <w:tr w:rsidR="00057299">
        <w:tblPrEx>
          <w:tblCellMar>
            <w:top w:w="0" w:type="dxa"/>
            <w:bottom w:w="0" w:type="dxa"/>
          </w:tblCellMar>
        </w:tblPrEx>
        <w:tc>
          <w:tcPr>
            <w:tcW w:w="30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Помилковість</w:t>
            </w:r>
          </w:p>
        </w:tc>
        <w:tc>
          <w:tcPr>
            <w:tcW w:w="31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Детермінована</w:t>
            </w:r>
          </w:p>
        </w:tc>
        <w:tc>
          <w:tcPr>
            <w:tcW w:w="3254"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Ймовірнісна (зменшується)</w:t>
            </w:r>
          </w:p>
        </w:tc>
      </w:tr>
      <w:tr w:rsidR="00057299">
        <w:tblPrEx>
          <w:tblCellMar>
            <w:top w:w="0" w:type="dxa"/>
            <w:bottom w:w="0" w:type="dxa"/>
          </w:tblCellMar>
        </w:tblPrEx>
        <w:tc>
          <w:tcPr>
            <w:tcW w:w="30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Факторизація RSA</w:t>
            </w:r>
          </w:p>
        </w:tc>
        <w:tc>
          <w:tcPr>
            <w:tcW w:w="31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O(e^{n^{1/3}})</w:t>
            </w:r>
          </w:p>
        </w:tc>
        <w:tc>
          <w:tcPr>
            <w:tcW w:w="3254"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O(n³) — Shor</w:t>
            </w:r>
          </w:p>
        </w:tc>
      </w:tr>
      <w:tr w:rsidR="00057299">
        <w:tblPrEx>
          <w:tblCellMar>
            <w:top w:w="0" w:type="dxa"/>
            <w:bottom w:w="0" w:type="dxa"/>
          </w:tblCellMar>
        </w:tblPrEx>
        <w:tc>
          <w:tcPr>
            <w:tcW w:w="30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Пошук у базі</w:t>
            </w:r>
          </w:p>
        </w:tc>
        <w:tc>
          <w:tcPr>
            <w:tcW w:w="31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O(N)</w:t>
            </w:r>
          </w:p>
        </w:tc>
        <w:tc>
          <w:tcPr>
            <w:tcW w:w="3254"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O(√N) — Grover</w:t>
            </w:r>
          </w:p>
        </w:tc>
      </w:tr>
      <w:tr w:rsidR="00057299">
        <w:tblPrEx>
          <w:tblCellMar>
            <w:top w:w="0" w:type="dxa"/>
            <w:bottom w:w="0" w:type="dxa"/>
          </w:tblCellMar>
        </w:tblPrEx>
        <w:tc>
          <w:tcPr>
            <w:tcW w:w="30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Моделювання молекул</w:t>
            </w:r>
          </w:p>
        </w:tc>
        <w:tc>
          <w:tcPr>
            <w:tcW w:w="31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Експоненціальне</w:t>
            </w:r>
          </w:p>
        </w:tc>
        <w:tc>
          <w:tcPr>
            <w:tcW w:w="3254"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Поліноміальне</w:t>
            </w:r>
          </w:p>
        </w:tc>
      </w:tr>
    </w:tbl>
    <w:p w:rsidR="00057299" w:rsidRDefault="00057299"/>
    <w:p w:rsidR="00057299" w:rsidRDefault="00000000">
      <w:pPr>
        <w:ind w:firstLine="567"/>
        <w:jc w:val="both"/>
      </w:pPr>
      <w:r>
        <w:rPr>
          <w:rFonts w:ascii="Open Sans" w:hAnsi="Open Sans" w:cs="Open Sans"/>
          <w:sz w:val="26"/>
          <w:szCs w:val="26"/>
        </w:rPr>
        <w:t>Клас складності BQP (Bounded-error Quantum Polynomial time) об'єднує задачі, які квантовий комп'ютер розв'язує за поліноміальний час з ймовірністю помилки &lt; 1/3 (яку можна зменшити повторними запусками). Відомо, що P ⊆ BQP ⊆ PSPACE. Факторизація цілих чисел (алгоритм Шора) належить до BQP, але вірогідно не належить до P — саме це робить RSA вразливим. Питання, чи BQP ⊂ NP, залишається відкритим.</w:t>
      </w:r>
    </w:p>
    <w:p w:rsidR="00057299" w:rsidRDefault="00000000">
      <w:pPr>
        <w:ind w:firstLine="567"/>
        <w:jc w:val="both"/>
      </w:pPr>
      <w:r>
        <w:rPr>
          <w:rFonts w:ascii="Open Sans" w:hAnsi="Open Sans" w:cs="Open Sans"/>
          <w:sz w:val="26"/>
          <w:szCs w:val="26"/>
        </w:rPr>
        <w:lastRenderedPageBreak/>
        <w:t>Важливе обмеження: квантовий комп'ютер не вирішує все швидше. Перевага виникає лише для задач, де можна ефективно застосувати інтерференцію. Крім того, сучасні квантові комп'ютери перебувають у епосі NISQ (Noisy Intermediate-Scale Quantum) — мають обмежену кількість кубітів (до ~1000) та значний рівень шуму. Декогеренція (decoherence) — втрата квантової когерентності через взаємодію з оточенням — обмежує глибину квантових схем (кількість послідовних вентилів).</w:t>
      </w:r>
    </w:p>
    <w:p w:rsidR="00057299" w:rsidRDefault="00000000">
      <w:pPr>
        <w:ind w:firstLine="567"/>
        <w:jc w:val="both"/>
      </w:pPr>
      <w:r>
        <w:rPr>
          <w:rFonts w:ascii="Open Sans" w:hAnsi="Open Sans" w:cs="Open Sans"/>
          <w:sz w:val="26"/>
          <w:szCs w:val="26"/>
        </w:rPr>
        <w:t>Квантова корекція помилок (QEC) вирішує проблему шуму, але вимагає значного overhead: для одного логічного кубіта потрібно 1000–10000 фізичних кубітів (surface code). Основні типи квантових помилок: bit-flip (зміна |0⟩ на |1⟩), phase-flip (зміна знаку фази), bit-and-phase-flip (комбінація обох). Код Стіна [[9,1,3]] використовує 9 фізичних кубітів для захисту 1 логічного. Surface code є найперспективнішим завдяки високому порогу помилок (~1%) та локальній зв'язності кубітів. Google у 2023 році вперше показав, що збільшення розміру коду дійсно зменшує логічну помилку (below break-even point).</w:t>
      </w:r>
    </w:p>
    <w:p w:rsidR="00057299" w:rsidRDefault="00000000">
      <w:pPr>
        <w:ind w:firstLine="567"/>
        <w:jc w:val="both"/>
      </w:pPr>
      <w:r>
        <w:rPr>
          <w:rFonts w:ascii="Open Sans" w:hAnsi="Open Sans" w:cs="Open Sans"/>
          <w:sz w:val="26"/>
          <w:szCs w:val="26"/>
        </w:rPr>
        <w:t>Повноцінний криптоаналітично корисний квантовий комп'ютер (CRQC — Cryptographically Relevant Quantum Computer) потребує мільйонів фізичних кубітів. Оцінка для RSA-2048: ~4000 логічних кубітів × ~5000 фізичних/логічний = ~20 млн фізичних кубітів. За оптимістичними прогнозами, CRQC може з'явитися до 2035–2040 року, але деякі експерти вважають цей термін надто оптимістичним.</w:t>
      </w:r>
    </w:p>
    <w:p w:rsidR="00057299" w:rsidRDefault="00000000">
      <w:pPr>
        <w:ind w:firstLine="567"/>
        <w:jc w:val="both"/>
      </w:pPr>
      <w:r>
        <w:rPr>
          <w:rFonts w:ascii="Open Sans" w:hAnsi="Open Sans" w:cs="Open Sans"/>
          <w:sz w:val="26"/>
          <w:szCs w:val="26"/>
        </w:rPr>
        <w:t>Окрім криптоаналізу, квантові обчислення мають застосування у: моделюванні молекул (розробка ліків, матеріалознавство), оптимізації (логістика, фінансове моделювання), машинному навчанні (quantum machine learning, QML), моделюванні клімату та енергетичних систем. Варіаційні квантові алгоритми (VQE, QAOA) є перспективними для NISQ-епохи, оскільки вимагають неглибоких схем.</w:t>
      </w:r>
    </w:p>
    <w:p w:rsidR="00057299" w:rsidRDefault="00057299"/>
    <w:p w:rsidR="00057299" w:rsidRDefault="00000000">
      <w:pPr>
        <w:ind w:firstLine="567"/>
        <w:jc w:val="both"/>
      </w:pPr>
      <w:r>
        <w:rPr>
          <w:rFonts w:ascii="Open Sans" w:hAnsi="Open Sans" w:cs="Open Sans"/>
          <w:sz w:val="26"/>
          <w:szCs w:val="26"/>
        </w:rPr>
        <w:t xml:space="preserve">Алгоритм Дойча-Йожа (Deutsch-Jozsa, 1992) є першим доказом принципової квантової переваги: він вирішує задачу за 1 запит до оракулу, тоді як детермінований класичний алгоритм потребує 2^(n-1)+1 запитів у гіршому випадку. Задача: визначити, чи є функція f:{0,1}^n → {0,1} константною (однакова на всіх входах) або збалансованою (рівно половина входів дає 0, половина — 1). Алгоритм: підготувати n+1 кубітів у суперпозиції, застосувати оракул Uf, потім H⊗n — і виміряти. Якщо результат |0...0⟩ — функція константна, інакше — збалансована. Фізичний </w:t>
      </w:r>
      <w:r>
        <w:rPr>
          <w:rFonts w:ascii="Open Sans" w:hAnsi="Open Sans" w:cs="Open Sans"/>
          <w:sz w:val="26"/>
          <w:szCs w:val="26"/>
        </w:rPr>
        <w:lastRenderedPageBreak/>
        <w:t>сенс: конструктивна інтерференція виникає тільки для константних функцій.</w:t>
      </w:r>
    </w:p>
    <w:p w:rsidR="00057299" w:rsidRDefault="00000000">
      <w:pPr>
        <w:ind w:firstLine="567"/>
        <w:jc w:val="both"/>
      </w:pPr>
      <w:r>
        <w:rPr>
          <w:rFonts w:ascii="Open Sans" w:hAnsi="Open Sans" w:cs="Open Sans"/>
          <w:sz w:val="26"/>
          <w:szCs w:val="26"/>
        </w:rPr>
        <w:t>Алгоритм Саймона (Simon, 1994) є першим прикладом суперполіноміального квантового прискорення відносно класичного рандомізованого алгоритму. Задача: дано чорний ящик для f:{0,1}^n → {0,1}^n з прихованим секретом s, де f(x) = f(x ⊕ s) — знайти s. Класично: потрібно O(2^(n/2)) запитів (колізійна атака). Квантово: O(n) запитів — використовуючи QFT-подібну структуру для добутку лінійних рівнянь над GF(2). Алгоритм Саймона став натхненням для алгоритму Шора — обидва використовують прихований підгруповий підхід (hidden subgroup problem, HSP).</w:t>
      </w:r>
    </w:p>
    <w:p w:rsidR="00057299" w:rsidRDefault="00000000">
      <w:pPr>
        <w:ind w:firstLine="567"/>
        <w:jc w:val="both"/>
      </w:pPr>
      <w:r>
        <w:rPr>
          <w:rFonts w:ascii="Open Sans" w:hAnsi="Open Sans" w:cs="Open Sans"/>
          <w:sz w:val="26"/>
          <w:szCs w:val="26"/>
        </w:rPr>
        <w:t>Алгоритм Бернштейна-Вазірані (Bernstein-Vazirani, 1993) знаходить секретний рядок s за 1 квантовий запит, тоді як класично потрібно n запитів. Задача: f(x) = s·x mod 2 (скалярний добуток над GF(2)) — знайти s. Квантово: підготувати суперпозицію всіх x, застосувати оракул, H⊗n — і виміряти s. Це лінійне прискорення, але воно демонструє фундаментальну різницю: квантовий алгоритм паралельно опрацьовує всі 2^n входів за один прохід.</w:t>
      </w:r>
    </w:p>
    <w:p w:rsidR="00057299" w:rsidRDefault="00000000">
      <w:pPr>
        <w:ind w:firstLine="567"/>
        <w:jc w:val="both"/>
      </w:pPr>
      <w:r>
        <w:rPr>
          <w:rFonts w:ascii="Open Sans" w:hAnsi="Open Sans" w:cs="Open Sans"/>
          <w:sz w:val="26"/>
          <w:szCs w:val="26"/>
        </w:rPr>
        <w:t>Прихована підгрупова задача (HSP — Hidden Subgroup Problem) об'єднує алгоритми Дойча, Саймона, Шора та пошуку дискретного логарифма. Формулювання: задано групу G, підгрупу H ≤ G та функцію f:G → S, де f(x) = f(y) тоді і лише тоді, коли xH = yH — знайти H. Для абелевих груп (Z, Z_N × Z_N) квантовий алгоритм через QFT ефективно вирішує HSP за поліноміальний час. Алгоритм Шора є окремим випадком HSP для G = Z_N з підгрупою, породженою порядком a mod N. Для неабелевих груп (симетрична група S_n) задача пов'язана з проблемою ізоморфізму графів — ефективного алгоритму ще не знайдено.</w:t>
      </w:r>
    </w:p>
    <w:p w:rsidR="00057299" w:rsidRDefault="00000000">
      <w:pPr>
        <w:ind w:firstLine="567"/>
        <w:jc w:val="both"/>
      </w:pPr>
      <w:r>
        <w:rPr>
          <w:rFonts w:ascii="Open Sans" w:hAnsi="Open Sans" w:cs="Open Sans"/>
          <w:sz w:val="26"/>
          <w:szCs w:val="26"/>
        </w:rPr>
        <w:t>Квантова теорія складності містить ряд важливих класів. P ⊆ BPP ⊆ BQP ⊆ PP ⊆ PSPACE ⊆ EXP. Клас QMA (Quantum Merlin-Arthur) є квантовим аналогом NP: верифікатор — квантовий, доказ — квантовий стан. Задача локального гамільтоніана є QMA-повною — саме вона виникає у хімічних та фізичних симуляціях. Нещодавні результати (2024): доведено, що задача оцінки рівня ґрунтового стану довільного локального гамільтоніана є QMAEXP-важкою. Питання P vs NP та BQP vs NP залишаються відкритими, однак переважна думка: BQP ⊄ NP та NP ⊄ BQP.</w:t>
      </w:r>
    </w:p>
    <w:p w:rsidR="00057299" w:rsidRDefault="00000000">
      <w:pPr>
        <w:ind w:firstLine="567"/>
        <w:jc w:val="both"/>
      </w:pPr>
      <w:r>
        <w:rPr>
          <w:rFonts w:ascii="Open Sans" w:hAnsi="Open Sans" w:cs="Open Sans"/>
          <w:sz w:val="26"/>
          <w:szCs w:val="26"/>
        </w:rPr>
        <w:t xml:space="preserve">Варіаційні квантові алгоритми (VQA) є основними алгоритмами NISQ-ери. Їх загальна структура: параметризована квантова схема U(θ) готує стан |ψ(θ)⟩; класичний оптимізатор мінімізує функцію витрат C(θ) = ⟨ψ(θ)|H|ψ(θ)⟩. Основні представники: (1) VQE (Variational Quantum Eigensolver) — </w:t>
      </w:r>
      <w:r>
        <w:rPr>
          <w:rFonts w:ascii="Open Sans" w:hAnsi="Open Sans" w:cs="Open Sans"/>
          <w:sz w:val="26"/>
          <w:szCs w:val="26"/>
        </w:rPr>
        <w:lastRenderedPageBreak/>
        <w:t>мінімізація енергії молекули H, Li₂ тощо; (2) QAOA (Quantum Approximate Optimization Algorithm) — наближені розв'язки задач комбінаторної оптимізації (MAX-CUT, задача комівояжера). Проблема 'barren plateau' (рівнини без орієнтирів): при збільшенні кількості кубітів градієнти стають експоненційно малими, ускладнюючи навчання. Активне дослідницьке питання 2023–2025.</w:t>
      </w:r>
    </w:p>
    <w:p w:rsidR="00057299" w:rsidRDefault="00057299"/>
    <w:p w:rsidR="00950CA5" w:rsidRDefault="00950CA5">
      <w:pPr>
        <w:rPr>
          <w:rFonts w:ascii="Open Sans" w:hAnsi="Open Sans" w:cs="Open Sans"/>
          <w:b/>
          <w:bCs/>
          <w:sz w:val="26"/>
          <w:szCs w:val="26"/>
        </w:rPr>
      </w:pPr>
      <w:r>
        <w:br w:type="page"/>
      </w:r>
    </w:p>
    <w:p w:rsidR="00057299" w:rsidRDefault="00000000">
      <w:pPr>
        <w:pStyle w:val="Heading2"/>
        <w:spacing w:before="200" w:after="100"/>
        <w:ind w:firstLine="567"/>
      </w:pPr>
      <w:r>
        <w:rPr>
          <w:rFonts w:eastAsia="Times New Roman"/>
        </w:rPr>
        <w:lastRenderedPageBreak/>
        <w:t>IV. Історичний контекст та сучасний стан</w:t>
      </w:r>
    </w:p>
    <w:p w:rsidR="00057299" w:rsidRDefault="00000000">
      <w:pPr>
        <w:ind w:firstLine="567"/>
        <w:jc w:val="both"/>
      </w:pPr>
      <w:r>
        <w:rPr>
          <w:rFonts w:ascii="Open Sans" w:hAnsi="Open Sans" w:cs="Open Sans"/>
          <w:sz w:val="26"/>
          <w:szCs w:val="26"/>
        </w:rPr>
        <w:t>Історія квантових обчислень починається з теоретичних роздумів Р. Фейнмана (1981), який зауважив, що моделювання квантових систем на класичному комп'ютері вимагає експоненціальних ресурсів, тоді як квантовий комп'ютер міг би зробити це природно. Д. Дойч (1985) формалізував модель квантової машини Тюрінга та показав перший приклад квантової переваги.</w:t>
      </w:r>
    </w:p>
    <w:p w:rsidR="00057299" w:rsidRDefault="00000000">
      <w:pPr>
        <w:ind w:firstLine="567"/>
        <w:jc w:val="both"/>
      </w:pPr>
      <w:r>
        <w:rPr>
          <w:rFonts w:ascii="Open Sans" w:hAnsi="Open Sans" w:cs="Open Sans"/>
          <w:sz w:val="26"/>
          <w:szCs w:val="26"/>
        </w:rPr>
        <w:t>Хронологія ключових подій:</w:t>
      </w:r>
    </w:p>
    <w:p w:rsidR="00057299" w:rsidRDefault="00057299"/>
    <w:tbl>
      <w:tblPr>
        <w:tblW w:w="93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1200"/>
        <w:gridCol w:w="5400"/>
        <w:gridCol w:w="2754"/>
      </w:tblGrid>
      <w:tr w:rsidR="00057299">
        <w:tblPrEx>
          <w:tblCellMar>
            <w:top w:w="0" w:type="dxa"/>
            <w:bottom w:w="0" w:type="dxa"/>
          </w:tblCellMar>
        </w:tblPrEx>
        <w:tc>
          <w:tcPr>
            <w:tcW w:w="1200" w:type="dxa"/>
            <w:shd w:val="solid" w:color="BDD7EE" w:fill="BDD7EE"/>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b/>
                <w:bCs/>
                <w:sz w:val="26"/>
                <w:szCs w:val="26"/>
              </w:rPr>
              <w:t>Рік</w:t>
            </w:r>
          </w:p>
        </w:tc>
        <w:tc>
          <w:tcPr>
            <w:tcW w:w="5400" w:type="dxa"/>
            <w:shd w:val="solid" w:color="BDD7EE" w:fill="BDD7EE"/>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b/>
                <w:bCs/>
                <w:sz w:val="26"/>
                <w:szCs w:val="26"/>
              </w:rPr>
              <w:t>Подія</w:t>
            </w:r>
          </w:p>
        </w:tc>
        <w:tc>
          <w:tcPr>
            <w:tcW w:w="2754" w:type="dxa"/>
            <w:shd w:val="solid" w:color="BDD7EE" w:fill="BDD7EE"/>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b/>
                <w:bCs/>
                <w:sz w:val="26"/>
                <w:szCs w:val="26"/>
              </w:rPr>
              <w:t>Значення</w:t>
            </w:r>
          </w:p>
        </w:tc>
      </w:tr>
      <w:tr w:rsidR="00057299">
        <w:tblPrEx>
          <w:tblCellMar>
            <w:top w:w="0" w:type="dxa"/>
            <w:bottom w:w="0" w:type="dxa"/>
          </w:tblCellMar>
        </w:tblPrEx>
        <w:tc>
          <w:tcPr>
            <w:tcW w:w="12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1981</w:t>
            </w:r>
          </w:p>
        </w:tc>
        <w:tc>
          <w:tcPr>
            <w:tcW w:w="54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Р. Фейнман пропонує квантові комп'ютери</w:t>
            </w:r>
          </w:p>
        </w:tc>
        <w:tc>
          <w:tcPr>
            <w:tcW w:w="2754"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Початок галузі</w:t>
            </w:r>
          </w:p>
        </w:tc>
      </w:tr>
      <w:tr w:rsidR="00057299">
        <w:tblPrEx>
          <w:tblCellMar>
            <w:top w:w="0" w:type="dxa"/>
            <w:bottom w:w="0" w:type="dxa"/>
          </w:tblCellMar>
        </w:tblPrEx>
        <w:tc>
          <w:tcPr>
            <w:tcW w:w="12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1985</w:t>
            </w:r>
          </w:p>
        </w:tc>
        <w:tc>
          <w:tcPr>
            <w:tcW w:w="54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Д. Дойч — квантова машина Тюрінга</w:t>
            </w:r>
          </w:p>
        </w:tc>
        <w:tc>
          <w:tcPr>
            <w:tcW w:w="2754"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Формалізація</w:t>
            </w:r>
          </w:p>
        </w:tc>
      </w:tr>
      <w:tr w:rsidR="00057299">
        <w:tblPrEx>
          <w:tblCellMar>
            <w:top w:w="0" w:type="dxa"/>
            <w:bottom w:w="0" w:type="dxa"/>
          </w:tblCellMar>
        </w:tblPrEx>
        <w:tc>
          <w:tcPr>
            <w:tcW w:w="12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1994</w:t>
            </w:r>
          </w:p>
        </w:tc>
        <w:tc>
          <w:tcPr>
            <w:tcW w:w="54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П. Шор — алгоритм факторизації</w:t>
            </w:r>
          </w:p>
        </w:tc>
        <w:tc>
          <w:tcPr>
            <w:tcW w:w="2754"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RSA під загрозою</w:t>
            </w:r>
          </w:p>
        </w:tc>
      </w:tr>
      <w:tr w:rsidR="00057299">
        <w:tblPrEx>
          <w:tblCellMar>
            <w:top w:w="0" w:type="dxa"/>
            <w:bottom w:w="0" w:type="dxa"/>
          </w:tblCellMar>
        </w:tblPrEx>
        <w:tc>
          <w:tcPr>
            <w:tcW w:w="12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1996</w:t>
            </w:r>
          </w:p>
        </w:tc>
        <w:tc>
          <w:tcPr>
            <w:tcW w:w="54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Л. Гровер — пошук за O(√N)</w:t>
            </w:r>
          </w:p>
        </w:tc>
        <w:tc>
          <w:tcPr>
            <w:tcW w:w="2754"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Симетрія ослаблена</w:t>
            </w:r>
          </w:p>
        </w:tc>
      </w:tr>
      <w:tr w:rsidR="00057299">
        <w:tblPrEx>
          <w:tblCellMar>
            <w:top w:w="0" w:type="dxa"/>
            <w:bottom w:w="0" w:type="dxa"/>
          </w:tblCellMar>
        </w:tblPrEx>
        <w:tc>
          <w:tcPr>
            <w:tcW w:w="12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1998</w:t>
            </w:r>
          </w:p>
        </w:tc>
        <w:tc>
          <w:tcPr>
            <w:tcW w:w="54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Перша реалізація алг. Шора (N=15)</w:t>
            </w:r>
          </w:p>
        </w:tc>
        <w:tc>
          <w:tcPr>
            <w:tcW w:w="2754"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Експеримент</w:t>
            </w:r>
          </w:p>
        </w:tc>
      </w:tr>
      <w:tr w:rsidR="00057299">
        <w:tblPrEx>
          <w:tblCellMar>
            <w:top w:w="0" w:type="dxa"/>
            <w:bottom w:w="0" w:type="dxa"/>
          </w:tblCellMar>
        </w:tblPrEx>
        <w:tc>
          <w:tcPr>
            <w:tcW w:w="12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2016</w:t>
            </w:r>
          </w:p>
        </w:tc>
        <w:tc>
          <w:tcPr>
            <w:tcW w:w="54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IBM Q Experience — хмарний доступ</w:t>
            </w:r>
          </w:p>
        </w:tc>
        <w:tc>
          <w:tcPr>
            <w:tcW w:w="2754"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Демократизація</w:t>
            </w:r>
          </w:p>
        </w:tc>
      </w:tr>
      <w:tr w:rsidR="00057299">
        <w:tblPrEx>
          <w:tblCellMar>
            <w:top w:w="0" w:type="dxa"/>
            <w:bottom w:w="0" w:type="dxa"/>
          </w:tblCellMar>
        </w:tblPrEx>
        <w:tc>
          <w:tcPr>
            <w:tcW w:w="12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2019</w:t>
            </w:r>
          </w:p>
        </w:tc>
        <w:tc>
          <w:tcPr>
            <w:tcW w:w="54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Google Sycamore: 53 кубіти</w:t>
            </w:r>
          </w:p>
        </w:tc>
        <w:tc>
          <w:tcPr>
            <w:tcW w:w="2754"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Квантова перевага</w:t>
            </w:r>
          </w:p>
        </w:tc>
      </w:tr>
      <w:tr w:rsidR="00057299">
        <w:tblPrEx>
          <w:tblCellMar>
            <w:top w:w="0" w:type="dxa"/>
            <w:bottom w:w="0" w:type="dxa"/>
          </w:tblCellMar>
        </w:tblPrEx>
        <w:tc>
          <w:tcPr>
            <w:tcW w:w="12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2023</w:t>
            </w:r>
          </w:p>
        </w:tc>
        <w:tc>
          <w:tcPr>
            <w:tcW w:w="54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IBM Condor: 1121 кубіт</w:t>
            </w:r>
          </w:p>
        </w:tc>
        <w:tc>
          <w:tcPr>
            <w:tcW w:w="2754"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Масштабування</w:t>
            </w:r>
          </w:p>
        </w:tc>
      </w:tr>
      <w:tr w:rsidR="00057299">
        <w:tblPrEx>
          <w:tblCellMar>
            <w:top w:w="0" w:type="dxa"/>
            <w:bottom w:w="0" w:type="dxa"/>
          </w:tblCellMar>
        </w:tblPrEx>
        <w:tc>
          <w:tcPr>
            <w:tcW w:w="12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2024</w:t>
            </w:r>
          </w:p>
        </w:tc>
        <w:tc>
          <w:tcPr>
            <w:tcW w:w="54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NIST: FIPS 203, 204, 205</w:t>
            </w:r>
          </w:p>
        </w:tc>
        <w:tc>
          <w:tcPr>
            <w:tcW w:w="2754"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PQC стандарти</w:t>
            </w:r>
          </w:p>
        </w:tc>
      </w:tr>
    </w:tbl>
    <w:p w:rsidR="00057299" w:rsidRDefault="00057299"/>
    <w:p w:rsidR="00057299" w:rsidRDefault="00000000">
      <w:pPr>
        <w:ind w:firstLine="567"/>
        <w:jc w:val="both"/>
      </w:pPr>
      <w:r>
        <w:rPr>
          <w:rFonts w:ascii="Open Sans" w:hAnsi="Open Sans" w:cs="Open Sans"/>
          <w:sz w:val="26"/>
          <w:szCs w:val="26"/>
        </w:rPr>
        <w:t>Сучасні квантові платформи включають: IBM Quantum (надпровідні кубіти, Qiskit), Google Quantum AI (надпровідні, Cirq), IonQ (захоплені іони), Xanadu (фотонні, PennyLane), QuEra (нейтральні атоми). Хмарні сервіси (IBM Quantum, Amazon Braket, Azure Quantum) зробили квантові обчислення доступними для дослідників і студентів.</w:t>
      </w:r>
    </w:p>
    <w:p w:rsidR="00057299" w:rsidRDefault="00057299"/>
    <w:p w:rsidR="00057299" w:rsidRDefault="00000000">
      <w:pPr>
        <w:ind w:firstLine="567"/>
        <w:jc w:val="both"/>
      </w:pPr>
      <w:r>
        <w:rPr>
          <w:rFonts w:ascii="Open Sans" w:hAnsi="Open Sans" w:cs="Open Sans"/>
          <w:sz w:val="26"/>
          <w:szCs w:val="26"/>
        </w:rPr>
        <w:t>Сучасні квантові платформи суттєво відрізняються за технологією реалізації кубітів, часом когерентності, точністю вентилів та масштабованістю. Нижче наведено порівняльну таблицю основних платформ станом на 2025 рік:</w:t>
      </w:r>
    </w:p>
    <w:p w:rsidR="00057299" w:rsidRDefault="00057299"/>
    <w:tbl>
      <w:tblPr>
        <w:tblW w:w="93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2321"/>
        <w:gridCol w:w="1922"/>
        <w:gridCol w:w="1518"/>
        <w:gridCol w:w="2084"/>
        <w:gridCol w:w="1509"/>
      </w:tblGrid>
      <w:tr w:rsidR="00057299">
        <w:tblPrEx>
          <w:tblCellMar>
            <w:top w:w="0" w:type="dxa"/>
            <w:bottom w:w="0" w:type="dxa"/>
          </w:tblCellMar>
        </w:tblPrEx>
        <w:tc>
          <w:tcPr>
            <w:tcW w:w="1900" w:type="dxa"/>
            <w:shd w:val="solid" w:color="BDD7EE" w:fill="BDD7EE"/>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b/>
                <w:bCs/>
                <w:sz w:val="26"/>
                <w:szCs w:val="26"/>
              </w:rPr>
              <w:t>Платформа</w:t>
            </w:r>
          </w:p>
        </w:tc>
        <w:tc>
          <w:tcPr>
            <w:tcW w:w="2100" w:type="dxa"/>
            <w:shd w:val="solid" w:color="BDD7EE" w:fill="BDD7EE"/>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b/>
                <w:bCs/>
                <w:sz w:val="26"/>
                <w:szCs w:val="26"/>
              </w:rPr>
              <w:t>Компанія</w:t>
            </w:r>
          </w:p>
        </w:tc>
        <w:tc>
          <w:tcPr>
            <w:tcW w:w="1800" w:type="dxa"/>
            <w:shd w:val="solid" w:color="BDD7EE" w:fill="BDD7EE"/>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b/>
                <w:bCs/>
                <w:sz w:val="26"/>
                <w:szCs w:val="26"/>
              </w:rPr>
              <w:t>Кубіти (2024)</w:t>
            </w:r>
          </w:p>
        </w:tc>
        <w:tc>
          <w:tcPr>
            <w:tcW w:w="1900" w:type="dxa"/>
            <w:shd w:val="solid" w:color="BDD7EE" w:fill="BDD7EE"/>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b/>
                <w:bCs/>
                <w:sz w:val="26"/>
                <w:szCs w:val="26"/>
              </w:rPr>
              <w:t>Час когерентності</w:t>
            </w:r>
          </w:p>
        </w:tc>
        <w:tc>
          <w:tcPr>
            <w:tcW w:w="1654" w:type="dxa"/>
            <w:shd w:val="solid" w:color="BDD7EE" w:fill="BDD7EE"/>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b/>
                <w:bCs/>
                <w:sz w:val="26"/>
                <w:szCs w:val="26"/>
              </w:rPr>
              <w:t>Точність 2Q вентиля</w:t>
            </w:r>
          </w:p>
        </w:tc>
      </w:tr>
      <w:tr w:rsidR="00057299">
        <w:tblPrEx>
          <w:tblCellMar>
            <w:top w:w="0" w:type="dxa"/>
            <w:bottom w:w="0" w:type="dxa"/>
          </w:tblCellMar>
        </w:tblPrEx>
        <w:tc>
          <w:tcPr>
            <w:tcW w:w="19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Надпровідникові</w:t>
            </w:r>
          </w:p>
        </w:tc>
        <w:tc>
          <w:tcPr>
            <w:tcW w:w="21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IBM, Google, Rigetti</w:t>
            </w:r>
          </w:p>
        </w:tc>
        <w:tc>
          <w:tcPr>
            <w:tcW w:w="18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~1000–1400</w:t>
            </w:r>
          </w:p>
        </w:tc>
        <w:tc>
          <w:tcPr>
            <w:tcW w:w="19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~100–500 мкс</w:t>
            </w:r>
          </w:p>
        </w:tc>
        <w:tc>
          <w:tcPr>
            <w:tcW w:w="1654"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99.0–99.7%</w:t>
            </w:r>
          </w:p>
        </w:tc>
      </w:tr>
      <w:tr w:rsidR="00057299">
        <w:tblPrEx>
          <w:tblCellMar>
            <w:top w:w="0" w:type="dxa"/>
            <w:bottom w:w="0" w:type="dxa"/>
          </w:tblCellMar>
        </w:tblPrEx>
        <w:tc>
          <w:tcPr>
            <w:tcW w:w="19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Захоплені іони</w:t>
            </w:r>
          </w:p>
        </w:tc>
        <w:tc>
          <w:tcPr>
            <w:tcW w:w="21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IonQ, Quantinuum</w:t>
            </w:r>
          </w:p>
        </w:tc>
        <w:tc>
          <w:tcPr>
            <w:tcW w:w="18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~30–50</w:t>
            </w:r>
          </w:p>
        </w:tc>
        <w:tc>
          <w:tcPr>
            <w:tcW w:w="19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~1–100 с</w:t>
            </w:r>
          </w:p>
        </w:tc>
        <w:tc>
          <w:tcPr>
            <w:tcW w:w="1654"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99.5–99.9%</w:t>
            </w:r>
          </w:p>
        </w:tc>
      </w:tr>
      <w:tr w:rsidR="00057299">
        <w:tblPrEx>
          <w:tblCellMar>
            <w:top w:w="0" w:type="dxa"/>
            <w:bottom w:w="0" w:type="dxa"/>
          </w:tblCellMar>
        </w:tblPrEx>
        <w:tc>
          <w:tcPr>
            <w:tcW w:w="19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Фотонні</w:t>
            </w:r>
          </w:p>
        </w:tc>
        <w:tc>
          <w:tcPr>
            <w:tcW w:w="21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Xanadu, PsiQuantum</w:t>
            </w:r>
          </w:p>
        </w:tc>
        <w:tc>
          <w:tcPr>
            <w:tcW w:w="18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~100 (моди)</w:t>
            </w:r>
          </w:p>
        </w:tc>
        <w:tc>
          <w:tcPr>
            <w:tcW w:w="19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Кімнатна темп.</w:t>
            </w:r>
          </w:p>
        </w:tc>
        <w:tc>
          <w:tcPr>
            <w:tcW w:w="1654"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~99%</w:t>
            </w:r>
          </w:p>
        </w:tc>
      </w:tr>
      <w:tr w:rsidR="00057299">
        <w:tblPrEx>
          <w:tblCellMar>
            <w:top w:w="0" w:type="dxa"/>
            <w:bottom w:w="0" w:type="dxa"/>
          </w:tblCellMar>
        </w:tblPrEx>
        <w:tc>
          <w:tcPr>
            <w:tcW w:w="19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Нейтральні атоми</w:t>
            </w:r>
          </w:p>
        </w:tc>
        <w:tc>
          <w:tcPr>
            <w:tcW w:w="21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QuEra, Pasqal, Atom Computing</w:t>
            </w:r>
          </w:p>
        </w:tc>
        <w:tc>
          <w:tcPr>
            <w:tcW w:w="18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~300–1000</w:t>
            </w:r>
          </w:p>
        </w:tc>
        <w:tc>
          <w:tcPr>
            <w:tcW w:w="19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~1–10 с</w:t>
            </w:r>
          </w:p>
        </w:tc>
        <w:tc>
          <w:tcPr>
            <w:tcW w:w="1654"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99.5%</w:t>
            </w:r>
          </w:p>
        </w:tc>
      </w:tr>
      <w:tr w:rsidR="00057299">
        <w:tblPrEx>
          <w:tblCellMar>
            <w:top w:w="0" w:type="dxa"/>
            <w:bottom w:w="0" w:type="dxa"/>
          </w:tblCellMar>
        </w:tblPrEx>
        <w:tc>
          <w:tcPr>
            <w:tcW w:w="19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Топологічні</w:t>
            </w:r>
          </w:p>
        </w:tc>
        <w:tc>
          <w:tcPr>
            <w:tcW w:w="21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Microsoft</w:t>
            </w:r>
          </w:p>
        </w:tc>
        <w:tc>
          <w:tcPr>
            <w:tcW w:w="18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Десятки</w:t>
            </w:r>
          </w:p>
        </w:tc>
        <w:tc>
          <w:tcPr>
            <w:tcW w:w="19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Теоретично ∞</w:t>
            </w:r>
          </w:p>
        </w:tc>
        <w:tc>
          <w:tcPr>
            <w:tcW w:w="1654"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У розробці</w:t>
            </w:r>
          </w:p>
        </w:tc>
      </w:tr>
    </w:tbl>
    <w:p w:rsidR="00057299" w:rsidRDefault="00057299"/>
    <w:p w:rsidR="00057299" w:rsidRDefault="00000000">
      <w:pPr>
        <w:ind w:firstLine="567"/>
        <w:jc w:val="both"/>
      </w:pPr>
      <w:r>
        <w:rPr>
          <w:rFonts w:ascii="Open Sans" w:hAnsi="Open Sans" w:cs="Open Sans"/>
          <w:sz w:val="26"/>
          <w:szCs w:val="26"/>
        </w:rPr>
        <w:t>IBM реалізує найбільш публічний та відкритий дорожній план. Eagle (2021, 127 кубітів) → Osprey (2022, 433) → Condor (2023, 1121) → Heron (2024, ~133 з покращеною зв'язністю) → Flamingo (2025, модульна архітектура). Ключова концепція IBM — квантові модулі, з'єднані класичними та квантовими комунікаційними каналами для масштабування до мільйонів кубітів. IBM Quantum Network надає хмарний доступ до понад 20 процесорів через IBM Quantum Platform та Qiskit Runtime.</w:t>
      </w:r>
    </w:p>
    <w:p w:rsidR="00057299" w:rsidRDefault="00000000">
      <w:pPr>
        <w:ind w:firstLine="567"/>
        <w:jc w:val="both"/>
      </w:pPr>
      <w:r>
        <w:rPr>
          <w:rFonts w:ascii="Open Sans" w:hAnsi="Open Sans" w:cs="Open Sans"/>
          <w:sz w:val="26"/>
          <w:szCs w:val="26"/>
        </w:rPr>
        <w:t>Google у 2019 р. оголосив 'квантову перевагу' на процесорі Sycamore (53 кубіти): задача випадкової вибірки квантових схем виконана за 200 секунд, тоді як класичний симулятор потребував би 10 000 років (оспорювана оцінка — Alibaba показала 2.5 доби). У 2023 р. Google досягнув below break-even у квантовій корекції помилок на surface code. У 2024 р. представлений Willow (105 кубітів): нижча помилка при збільшенні кодового відстані — перша демонстрація 'below threshold' QEC. Roadmap Google: логічний квантовий комп'ютер з 100 логічними кубітами до 2029 р.</w:t>
      </w:r>
    </w:p>
    <w:p w:rsidR="00057299" w:rsidRDefault="00000000">
      <w:pPr>
        <w:ind w:firstLine="567"/>
        <w:jc w:val="both"/>
      </w:pPr>
      <w:r>
        <w:rPr>
          <w:rFonts w:ascii="Open Sans" w:hAnsi="Open Sans" w:cs="Open Sans"/>
          <w:sz w:val="26"/>
          <w:szCs w:val="26"/>
        </w:rPr>
        <w:t xml:space="preserve">IonQ та Quantinuum спеціалізуються на іонних пастках з надвисокою точністю. IonQ Forte (2023): 36 іонів з алгоритмічними кубітами, #AQ = 35. </w:t>
      </w:r>
      <w:r>
        <w:rPr>
          <w:rFonts w:ascii="Open Sans" w:hAnsi="Open Sans" w:cs="Open Sans"/>
          <w:sz w:val="26"/>
          <w:szCs w:val="26"/>
        </w:rPr>
        <w:lastRenderedPageBreak/>
        <w:t>Quantinuum H2 (2024): 56 кубітів, 2-кубітний вентиль 99.9%, що є найвищим серед будь-яких фізичних платформ. QuEra (Гарвард/MIT) використовує решітки нейтральних атомів: Aquila (256 атомів, аналогова симуляція) і Gemini (2024, 256 адресовних кубітів з цифровими вентилями). Atom Computing досягнув 1180 атомів у 2023 р. — рекорд кількості, але ще без повноцінних вентилів.</w:t>
      </w:r>
    </w:p>
    <w:p w:rsidR="00057299" w:rsidRDefault="00000000">
      <w:pPr>
        <w:ind w:firstLine="567"/>
        <w:jc w:val="both"/>
      </w:pPr>
      <w:r>
        <w:rPr>
          <w:rFonts w:ascii="Open Sans" w:hAnsi="Open Sans" w:cs="Open Sans"/>
          <w:sz w:val="26"/>
          <w:szCs w:val="26"/>
        </w:rPr>
        <w:t>Хмарні сервіси квантових обчислень дозволяють дослідникам та компаніям отримати доступ до реального квантового апаратного забезпечення через API. IBM Quantum (qiskit.org), Google Cloud Quantum AI, AWS Braket (підтримує IonQ, Rigetti, Xanadu, QuEra), Azure Quantum (Microsoft, Quantinuum, IonQ, Rigetti) — основні платформи. Вартість: IBM надає безкоштовний доступ до обмежених ресурсів, комерційне використання — від $1.60/секунду. Для алгоритмічних досліджень критично важливим є класичний симулятор: Qiskit Aer (до 32 кубітів на звичайному ПК), Qiskit Statevector (до ~50 кубітів на суперкомп'ютері).</w:t>
      </w:r>
    </w:p>
    <w:p w:rsidR="00057299" w:rsidRDefault="00057299"/>
    <w:p w:rsidR="00057299" w:rsidRDefault="00000000">
      <w:pPr>
        <w:pStyle w:val="Heading2"/>
        <w:spacing w:before="200" w:after="100"/>
        <w:ind w:firstLine="567"/>
      </w:pPr>
      <w:r>
        <w:rPr>
          <w:rFonts w:eastAsia="Times New Roman"/>
        </w:rPr>
        <w:t>V. Криптографічне значення</w:t>
      </w:r>
    </w:p>
    <w:p w:rsidR="00057299" w:rsidRDefault="00000000">
      <w:pPr>
        <w:ind w:firstLine="567"/>
        <w:jc w:val="both"/>
      </w:pPr>
      <w:r>
        <w:rPr>
          <w:rFonts w:ascii="Open Sans" w:hAnsi="Open Sans" w:cs="Open Sans"/>
          <w:sz w:val="26"/>
          <w:szCs w:val="26"/>
        </w:rPr>
        <w:t>Алгоритм Шора (1994) — найбільша загроза для сучасної асиметричної криптографії. Він факторизує цілі числа за поліноміальний час O(n³), використовуючи квантове перетворення Фур'є (QFT) для знаходження періоду функції f(x) = a^x mod N. Це робить вразливими всі криптосистеми, безпека яких базується на складності факторизації або дискретного логарифмування: RSA, DSA, ECDSA, DH, ECDH.</w:t>
      </w:r>
    </w:p>
    <w:p w:rsidR="00057299" w:rsidRDefault="00000000">
      <w:pPr>
        <w:ind w:firstLine="567"/>
        <w:jc w:val="both"/>
      </w:pPr>
      <w:r>
        <w:rPr>
          <w:rFonts w:ascii="Open Sans" w:hAnsi="Open Sans" w:cs="Open Sans"/>
          <w:sz w:val="26"/>
          <w:szCs w:val="26"/>
        </w:rPr>
        <w:t>Приклад: 2048-бітний RSA. Найкращий класичний алгоритм (GNFS) вимагає ~10⁹ років на суперкомп'ютері. Алгоритм Шора на достатньо потужному CRQC (~4000 логічних кубітів, що відповідає ~20 млн фізичних) зламає RSA-2048 за години. ECC-256 ще вразливіший — потребує менше кубітів.</w:t>
      </w:r>
    </w:p>
    <w:p w:rsidR="00057299" w:rsidRDefault="00000000">
      <w:pPr>
        <w:ind w:firstLine="567"/>
        <w:jc w:val="both"/>
      </w:pPr>
      <w:r>
        <w:rPr>
          <w:rFonts w:ascii="Open Sans" w:hAnsi="Open Sans" w:cs="Open Sans"/>
          <w:sz w:val="26"/>
          <w:szCs w:val="26"/>
        </w:rPr>
        <w:t>Алгоритм Гровера (1996) здійснює пошук за O(√N) замість O(N), ефективно половинить довжину ключа симетричних шифрів. AES-128 фактично стає 64-бітним, що недостатньо. Фікс: подвоїти довжину ключа (AES-256 → 128 біт квантової стійкості). Аналогічно SHA-256 слід замінити на SHA-384 або SHA-512 для довгострокової безпеки.</w:t>
      </w:r>
    </w:p>
    <w:p w:rsidR="00057299" w:rsidRDefault="00000000">
      <w:pPr>
        <w:ind w:firstLine="567"/>
        <w:jc w:val="both"/>
      </w:pPr>
      <w:r>
        <w:rPr>
          <w:rFonts w:ascii="Open Sans" w:hAnsi="Open Sans" w:cs="Open Sans"/>
          <w:sz w:val="26"/>
          <w:szCs w:val="26"/>
        </w:rPr>
        <w:t>Вплив на різні типи криптографії подано у таблиці:</w:t>
      </w:r>
    </w:p>
    <w:p w:rsidR="00057299" w:rsidRDefault="00057299"/>
    <w:tbl>
      <w:tblPr>
        <w:tblW w:w="93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1863"/>
        <w:gridCol w:w="2277"/>
        <w:gridCol w:w="2867"/>
        <w:gridCol w:w="2347"/>
      </w:tblGrid>
      <w:tr w:rsidR="00057299">
        <w:tblPrEx>
          <w:tblCellMar>
            <w:top w:w="0" w:type="dxa"/>
            <w:bottom w:w="0" w:type="dxa"/>
          </w:tblCellMar>
        </w:tblPrEx>
        <w:tc>
          <w:tcPr>
            <w:tcW w:w="1800" w:type="dxa"/>
            <w:shd w:val="solid" w:color="BDD7EE" w:fill="BDD7EE"/>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b/>
                <w:bCs/>
                <w:sz w:val="26"/>
                <w:szCs w:val="26"/>
              </w:rPr>
              <w:t>Тип</w:t>
            </w:r>
          </w:p>
        </w:tc>
        <w:tc>
          <w:tcPr>
            <w:tcW w:w="2300" w:type="dxa"/>
            <w:shd w:val="solid" w:color="BDD7EE" w:fill="BDD7EE"/>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b/>
                <w:bCs/>
                <w:sz w:val="26"/>
                <w:szCs w:val="26"/>
              </w:rPr>
              <w:t>Алгоритм</w:t>
            </w:r>
          </w:p>
        </w:tc>
        <w:tc>
          <w:tcPr>
            <w:tcW w:w="2900" w:type="dxa"/>
            <w:shd w:val="solid" w:color="BDD7EE" w:fill="BDD7EE"/>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b/>
                <w:bCs/>
                <w:sz w:val="26"/>
                <w:szCs w:val="26"/>
              </w:rPr>
              <w:t>Квантова загроза</w:t>
            </w:r>
          </w:p>
        </w:tc>
        <w:tc>
          <w:tcPr>
            <w:tcW w:w="2354" w:type="dxa"/>
            <w:shd w:val="solid" w:color="BDD7EE" w:fill="BDD7EE"/>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b/>
                <w:bCs/>
                <w:sz w:val="26"/>
                <w:szCs w:val="26"/>
              </w:rPr>
              <w:t>Рекомендація</w:t>
            </w:r>
          </w:p>
        </w:tc>
      </w:tr>
      <w:tr w:rsidR="00057299">
        <w:tblPrEx>
          <w:tblCellMar>
            <w:top w:w="0" w:type="dxa"/>
            <w:bottom w:w="0" w:type="dxa"/>
          </w:tblCellMar>
        </w:tblPrEx>
        <w:tc>
          <w:tcPr>
            <w:tcW w:w="18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lastRenderedPageBreak/>
              <w:t>Асиметрична</w:t>
            </w:r>
          </w:p>
        </w:tc>
        <w:tc>
          <w:tcPr>
            <w:tcW w:w="23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RSA, ECC, DH</w:t>
            </w:r>
          </w:p>
        </w:tc>
        <w:tc>
          <w:tcPr>
            <w:tcW w:w="29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Повне знищення (Shor)</w:t>
            </w:r>
          </w:p>
        </w:tc>
        <w:tc>
          <w:tcPr>
            <w:tcW w:w="2354"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Міграція на PQC</w:t>
            </w:r>
          </w:p>
        </w:tc>
      </w:tr>
      <w:tr w:rsidR="00057299">
        <w:tblPrEx>
          <w:tblCellMar>
            <w:top w:w="0" w:type="dxa"/>
            <w:bottom w:w="0" w:type="dxa"/>
          </w:tblCellMar>
        </w:tblPrEx>
        <w:tc>
          <w:tcPr>
            <w:tcW w:w="18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Симетрична</w:t>
            </w:r>
          </w:p>
        </w:tc>
        <w:tc>
          <w:tcPr>
            <w:tcW w:w="23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AES-128</w:t>
            </w:r>
          </w:p>
        </w:tc>
        <w:tc>
          <w:tcPr>
            <w:tcW w:w="29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Ослаблення (Grover)</w:t>
            </w:r>
          </w:p>
        </w:tc>
        <w:tc>
          <w:tcPr>
            <w:tcW w:w="2354"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AES-256</w:t>
            </w:r>
          </w:p>
        </w:tc>
      </w:tr>
      <w:tr w:rsidR="00057299">
        <w:tblPrEx>
          <w:tblCellMar>
            <w:top w:w="0" w:type="dxa"/>
            <w:bottom w:w="0" w:type="dxa"/>
          </w:tblCellMar>
        </w:tblPrEx>
        <w:tc>
          <w:tcPr>
            <w:tcW w:w="18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Геш-функції</w:t>
            </w:r>
          </w:p>
        </w:tc>
        <w:tc>
          <w:tcPr>
            <w:tcW w:w="23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SHA-256</w:t>
            </w:r>
          </w:p>
        </w:tc>
        <w:tc>
          <w:tcPr>
            <w:tcW w:w="29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Ослаблення (Grover)</w:t>
            </w:r>
          </w:p>
        </w:tc>
        <w:tc>
          <w:tcPr>
            <w:tcW w:w="2354"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SHA-384+</w:t>
            </w:r>
          </w:p>
        </w:tc>
      </w:tr>
      <w:tr w:rsidR="00057299">
        <w:tblPrEx>
          <w:tblCellMar>
            <w:top w:w="0" w:type="dxa"/>
            <w:bottom w:w="0" w:type="dxa"/>
          </w:tblCellMar>
        </w:tblPrEx>
        <w:tc>
          <w:tcPr>
            <w:tcW w:w="18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Підписи</w:t>
            </w:r>
          </w:p>
        </w:tc>
        <w:tc>
          <w:tcPr>
            <w:tcW w:w="23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ECDSA</w:t>
            </w:r>
          </w:p>
        </w:tc>
        <w:tc>
          <w:tcPr>
            <w:tcW w:w="2900"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Повне знищення (Shor)</w:t>
            </w:r>
          </w:p>
        </w:tc>
        <w:tc>
          <w:tcPr>
            <w:tcW w:w="2354" w:type="dxa"/>
            <w:tcMar>
              <w:top w:w="60" w:type="dxa"/>
              <w:left w:w="80" w:type="dxa"/>
              <w:bottom w:w="60" w:type="dxa"/>
              <w:right w:w="80" w:type="dxa"/>
            </w:tcMar>
            <w:vAlign w:val="center"/>
          </w:tcPr>
          <w:p w:rsidR="00057299" w:rsidRDefault="00000000">
            <w:pPr>
              <w:spacing w:before="40" w:after="40" w:line="276" w:lineRule="auto"/>
              <w:jc w:val="center"/>
            </w:pPr>
            <w:r>
              <w:rPr>
                <w:rFonts w:ascii="Open Sans" w:hAnsi="Open Sans" w:cs="Open Sans"/>
                <w:sz w:val="26"/>
                <w:szCs w:val="26"/>
              </w:rPr>
              <w:t>ML-DSA, SLH-DSA</w:t>
            </w:r>
          </w:p>
        </w:tc>
      </w:tr>
    </w:tbl>
    <w:p w:rsidR="00057299" w:rsidRDefault="00057299"/>
    <w:p w:rsidR="00057299" w:rsidRDefault="00000000">
      <w:pPr>
        <w:ind w:firstLine="567"/>
        <w:jc w:val="both"/>
      </w:pPr>
      <w:r>
        <w:rPr>
          <w:rFonts w:ascii="Open Sans" w:hAnsi="Open Sans" w:cs="Open Sans"/>
          <w:sz w:val="26"/>
          <w:szCs w:val="26"/>
        </w:rPr>
        <w:t>Відповіддю на квантову загрозу стала стандартизація постквантової криптографії, яку NIST започаткував у 2016 році і завершив у 2024 році виданням трьох стандартів:</w:t>
      </w:r>
    </w:p>
    <w:p w:rsidR="00057299" w:rsidRDefault="00000000">
      <w:pPr>
        <w:ind w:left="709" w:hanging="283"/>
        <w:jc w:val="both"/>
      </w:pPr>
      <w:r>
        <w:rPr>
          <w:rFonts w:ascii="Open Sans" w:hAnsi="Open Sans" w:cs="Open Sans"/>
          <w:sz w:val="26"/>
          <w:szCs w:val="26"/>
        </w:rPr>
        <w:t>• FIPS 203 (ML-KEM / Kyber) — механізм кінкапсуляції ключів на основі проблеми навчання з помилками (Module-LWE). Використовується для заміни RSA/ECDH у TLS, SSH, VPN</w:t>
      </w:r>
    </w:p>
    <w:p w:rsidR="00057299" w:rsidRDefault="00000000">
      <w:pPr>
        <w:ind w:left="709" w:hanging="283"/>
        <w:jc w:val="both"/>
      </w:pPr>
      <w:r>
        <w:rPr>
          <w:rFonts w:ascii="Open Sans" w:hAnsi="Open Sans" w:cs="Open Sans"/>
          <w:sz w:val="26"/>
          <w:szCs w:val="26"/>
        </w:rPr>
        <w:t>• FIPS 204 (ML-DSA / Dilithium) — цифрові підписи на основі граток. Заміна ECDSA/RSA для підписів у сертифікатах, коді, документах</w:t>
      </w:r>
    </w:p>
    <w:p w:rsidR="00057299" w:rsidRDefault="00000000">
      <w:pPr>
        <w:ind w:left="709" w:hanging="283"/>
        <w:jc w:val="both"/>
      </w:pPr>
      <w:r>
        <w:rPr>
          <w:rFonts w:ascii="Open Sans" w:hAnsi="Open Sans" w:cs="Open Sans"/>
          <w:sz w:val="26"/>
          <w:szCs w:val="26"/>
        </w:rPr>
        <w:t>• FIPS 205 (SLH-DSA / SPHINCS+) — цифрові підписи на основі геш-функцій (stateless). Безпека базується лише на стійкості геш-функцій — найконсервативніший варіант</w:t>
      </w:r>
    </w:p>
    <w:p w:rsidR="00057299" w:rsidRDefault="00000000">
      <w:pPr>
        <w:ind w:firstLine="567"/>
        <w:jc w:val="both"/>
      </w:pPr>
      <w:r>
        <w:rPr>
          <w:rFonts w:ascii="Open Sans" w:hAnsi="Open Sans" w:cs="Open Sans"/>
          <w:sz w:val="26"/>
          <w:szCs w:val="26"/>
        </w:rPr>
        <w:t>Практичні кроки міграції вже розпочато. Google Chrome та Cloudflare впровадили гібридний обмін ключами X25519+ML-KEM у TLS 1.3. OpenSSH 9.0+ підтримує постквантовий обмін ключами. Signal месенджер впровадив PQXDH протокол з ML-KEM.</w:t>
      </w:r>
    </w:p>
    <w:p w:rsidR="00057299" w:rsidRDefault="00000000">
      <w:pPr>
        <w:ind w:firstLine="567"/>
        <w:jc w:val="both"/>
      </w:pPr>
      <w:r>
        <w:rPr>
          <w:rFonts w:ascii="Open Sans" w:hAnsi="Open Sans" w:cs="Open Sans"/>
          <w:sz w:val="26"/>
          <w:szCs w:val="26"/>
        </w:rPr>
        <w:t>Q-Day — момент, коли квантовий комп'ютер зможе зламати RSA-2048 — очікується у 2030–2040-х роках за різними оцінками. Однак загроза HNDL («Harvest Now, Decrypt Later») робить проблему актуальною вже сьогодні: дані, які мають залишатися конфіденційними понад 10–15 років (державні таємниці, медичні записи, фінансові транзакції), потребують постквантового захисту вже зараз.</w:t>
      </w:r>
    </w:p>
    <w:p w:rsidR="00057299" w:rsidRDefault="00057299"/>
    <w:p w:rsidR="00057299" w:rsidRDefault="00000000">
      <w:pPr>
        <w:ind w:firstLine="567"/>
        <w:jc w:val="both"/>
      </w:pPr>
      <w:r>
        <w:rPr>
          <w:rFonts w:ascii="Open Sans" w:hAnsi="Open Sans" w:cs="Open Sans"/>
          <w:sz w:val="26"/>
          <w:szCs w:val="26"/>
        </w:rPr>
        <w:t>Процес стандартизації постквантової криптографії NIST (National Institute of Standards and Technology) розпочався у грудні 2016 р. і тривав понад 8 років — найдовший процес стандартизації NIST в історії. Метою було відібрати алгоритми, стійкі до атак як класичних, так і квантових комп'ютерів, придатні для широкого практичного застосування. NIST висунув чіткі критерії оцінки: безпека (рівень захисту I/II/III/IV/V), ефективність (швидкість шифрування/підписання, розміри ключів), гнучкість (параметризація) та стандартизованість (сумісність із наявними системами).</w:t>
      </w:r>
    </w:p>
    <w:p w:rsidR="00057299" w:rsidRDefault="00000000">
      <w:pPr>
        <w:ind w:firstLine="567"/>
        <w:jc w:val="both"/>
      </w:pPr>
      <w:r>
        <w:rPr>
          <w:rFonts w:ascii="Open Sans" w:hAnsi="Open Sans" w:cs="Open Sans"/>
          <w:sz w:val="26"/>
          <w:szCs w:val="26"/>
        </w:rPr>
        <w:t>Раунд 1 (2017–2019): надійшло 69 кандидатських алгоритмів від дослідників з 25 країн. Алгоритми поділялись на дві категорії: механізми інкапсуляції ключів/шифрування (KEM/PKE) та цифрові підписи (DS). Клас алгоритмів за математичною основою: на решітках (lattice-based) — 21 алгоритм; на кодах (code-based) — 17; на геш-функціях (hash-based) — 5; на ізогеніях (isogeny-based) — 2; мультиваріативні (multivariate) — 7; інші — 17. Вже у першому раунді ряд алгоритмів виявив критичні вразливості.</w:t>
      </w:r>
    </w:p>
    <w:p w:rsidR="00057299" w:rsidRDefault="00000000">
      <w:pPr>
        <w:ind w:firstLine="567"/>
        <w:jc w:val="both"/>
      </w:pPr>
      <w:r>
        <w:rPr>
          <w:rFonts w:ascii="Open Sans" w:hAnsi="Open Sans" w:cs="Open Sans"/>
          <w:sz w:val="26"/>
          <w:szCs w:val="26"/>
        </w:rPr>
        <w:t>Раунд 2 (2019–2020): 26 алгоритмів залишилось після ретельного криптоаналізу. Тривали масштабні оцінки продуктивності: швидкість операцій на різних платформах (x86, ARM, RISC-V, FPGA), вимоги до пам'яті, розміри ключів та шифротекстів. Раунд 3 (2020–2022): 7 фіналістів (4 KEM + 3 DS) та 8 алгоритмів-альтернатив. Rainbow (мультиваріативний підпис) зламаний у 2022 р. Уорд Бьюном: класичний ноутбук витратив 53 год на злам — Rainbow виключений зі стандартизації.</w:t>
      </w:r>
    </w:p>
    <w:p w:rsidR="00057299" w:rsidRDefault="00000000">
      <w:pPr>
        <w:ind w:firstLine="567"/>
        <w:jc w:val="both"/>
      </w:pPr>
      <w:r>
        <w:rPr>
          <w:rFonts w:ascii="Open Sans" w:hAnsi="Open Sans" w:cs="Open Sans"/>
          <w:sz w:val="26"/>
          <w:szCs w:val="26"/>
        </w:rPr>
        <w:t>Фінальні стандарти NIST PQC 2024: FIPS 203 (ML-KEM на основі CRYSTALS-Kyber), FIPS 204 (ML-DSA на основі CRYSTALS-Dilithium), FIPS 205 (SLH-DSA на основі SPHINCS+). FIPS 206 (FN-DSA на основі FALCON) очікується у 2025 р. Паралельно у Раунді 4 розглядаються BIKE та HQC (code-based KEM) як резервні алгоритми на випадок, якщо знайдуться атаки на решіткові схеми — рішення очікується у 2025–2026 рр.</w:t>
      </w:r>
    </w:p>
    <w:p w:rsidR="00057299" w:rsidRDefault="00000000">
      <w:pPr>
        <w:ind w:firstLine="567"/>
        <w:jc w:val="both"/>
      </w:pPr>
      <w:r>
        <w:rPr>
          <w:rFonts w:ascii="Open Sans" w:hAnsi="Open Sans" w:cs="Open Sans"/>
          <w:sz w:val="26"/>
          <w:szCs w:val="26"/>
        </w:rPr>
        <w:t>Математичні основи обраних стандартів. ML-KEM та ML-DSA базуються на задачі навчання з помилками на модулях (Module-LWE та Module-SIS). Безпека зводиться до жорсткості задач на решітках: знаходження найкоротшого вектора (SVP) та найближчого вектора (CVP) — NP-важких задач без відомих ефективних квантових алгоритмів. FALCON базується на NTRU-решітках і підписах Штерна-Долтона (GPV hash-and-sign). SLH-DSA (SPHINCS+) є найконсервативнішим: безпека залежить виключно від стійкості геш-функцій SHA-3/SHAKE, для яких Ґровер лише подвоює вимогу до довжини виводу.</w:t>
      </w:r>
    </w:p>
    <w:p w:rsidR="00057299" w:rsidRDefault="00000000">
      <w:pPr>
        <w:ind w:firstLine="567"/>
        <w:jc w:val="both"/>
      </w:pPr>
      <w:r>
        <w:rPr>
          <w:rFonts w:ascii="Open Sans" w:hAnsi="Open Sans" w:cs="Open Sans"/>
          <w:sz w:val="26"/>
          <w:szCs w:val="26"/>
        </w:rPr>
        <w:lastRenderedPageBreak/>
        <w:t>Гібридна криптографія є рекомендованим перехідним підходом: паралельне використання класичного та постквантового алгоритму. Наприклад, X25519+ML-KEM768 у TLS 1.3 обчислює два спільних секрети та комбінує їх через KDF: secret = KDF(ss_X25519 || ss_MLKEM). Якщо один алгоритм виявиться вразливим, гібридна схема все одно забезпечує безпеку. NSA CNSA 2.0 (2022) рекомендує: для схем підписів — ML-DSA або SLH-DSA, для обміну ключами — ML-KEM, терміни обов'язкового переходу — до 2030–2035 рр. для більшості систем.</w:t>
      </w:r>
    </w:p>
    <w:p w:rsidR="00057299" w:rsidRDefault="00000000">
      <w:pPr>
        <w:ind w:firstLine="567"/>
        <w:jc w:val="both"/>
      </w:pPr>
      <w:r>
        <w:rPr>
          <w:rFonts w:ascii="Open Sans" w:hAnsi="Open Sans" w:cs="Open Sans"/>
          <w:sz w:val="26"/>
          <w:szCs w:val="26"/>
        </w:rPr>
        <w:t>Виклики практичної міграції є значними. Розміри ключів та підписів зросли: RSA-2048 має 256-байтний ключ, ML-KEM-768 — 1184 байти публічний ключ і 1088 байтів шифротекст, FALCON-512 — 897 байтів підпис. Це впливає на пропускну здатність мережі та пам'ять вбудованих пристроїв (IoT, смарт-карти). Продуктивність: ML-KEM значно швидший за RSA, але SPHINCS+ на порядок повільніший за ECDSA при підписанні. PKI-інфраструктура вимагає оновлення сертифікатів, CA, протоколів TLS/SSH/IKE — координації між тисячами організацій. ETSI, ISO та IETF вже розробляють відповідні стандарти міграції та профілі для конкретних протоколів.</w:t>
      </w:r>
    </w:p>
    <w:p w:rsidR="00057299" w:rsidRDefault="00057299"/>
    <w:p w:rsidR="00610F0F" w:rsidRDefault="00610F0F">
      <w:pPr>
        <w:rPr>
          <w:rFonts w:ascii="Open Sans" w:hAnsi="Open Sans" w:cs="Open Sans"/>
          <w:b/>
          <w:bCs/>
          <w:sz w:val="26"/>
          <w:szCs w:val="26"/>
        </w:rPr>
      </w:pPr>
      <w:r>
        <w:br w:type="page"/>
      </w:r>
    </w:p>
    <w:p w:rsidR="00057299" w:rsidRDefault="00000000">
      <w:pPr>
        <w:pStyle w:val="Heading2"/>
        <w:spacing w:before="200" w:after="100"/>
        <w:ind w:firstLine="567"/>
      </w:pPr>
      <w:r>
        <w:rPr>
          <w:rFonts w:eastAsia="Times New Roman"/>
        </w:rPr>
        <w:lastRenderedPageBreak/>
        <w:t>Контрольні запитання</w:t>
      </w:r>
    </w:p>
    <w:p w:rsidR="00057299" w:rsidRDefault="00000000">
      <w:pPr>
        <w:ind w:left="709" w:hanging="283"/>
        <w:jc w:val="both"/>
      </w:pPr>
      <w:r>
        <w:rPr>
          <w:rFonts w:ascii="Open Sans" w:hAnsi="Open Sans" w:cs="Open Sans"/>
          <w:sz w:val="26"/>
          <w:szCs w:val="26"/>
        </w:rPr>
        <w:t>1. Чим кубіт відрізняється від класичного біта?</w:t>
      </w:r>
    </w:p>
    <w:p w:rsidR="00057299" w:rsidRDefault="00000000">
      <w:pPr>
        <w:ind w:left="709" w:hanging="283"/>
        <w:jc w:val="both"/>
      </w:pPr>
      <w:r>
        <w:rPr>
          <w:rFonts w:ascii="Open Sans" w:hAnsi="Open Sans" w:cs="Open Sans"/>
          <w:sz w:val="26"/>
          <w:szCs w:val="26"/>
        </w:rPr>
        <w:t>2. Що відбувається після вимірювання кубіта в стані суперпозиції?</w:t>
      </w:r>
    </w:p>
    <w:p w:rsidR="00057299" w:rsidRDefault="00000000">
      <w:pPr>
        <w:ind w:left="709" w:hanging="283"/>
        <w:jc w:val="both"/>
      </w:pPr>
      <w:r>
        <w:rPr>
          <w:rFonts w:ascii="Open Sans" w:hAnsi="Open Sans" w:cs="Open Sans"/>
          <w:sz w:val="26"/>
          <w:szCs w:val="26"/>
        </w:rPr>
        <w:t>3. Наведіть чотири стани Белла.</w:t>
      </w:r>
    </w:p>
    <w:p w:rsidR="00057299" w:rsidRDefault="00000000">
      <w:pPr>
        <w:ind w:left="709" w:hanging="283"/>
        <w:jc w:val="both"/>
      </w:pPr>
      <w:r>
        <w:rPr>
          <w:rFonts w:ascii="Open Sans" w:hAnsi="Open Sans" w:cs="Open Sans"/>
          <w:sz w:val="26"/>
          <w:szCs w:val="26"/>
        </w:rPr>
        <w:t>4. Що таке сфера Блоха?</w:t>
      </w:r>
    </w:p>
    <w:p w:rsidR="00057299" w:rsidRDefault="00000000">
      <w:pPr>
        <w:ind w:left="709" w:hanging="283"/>
        <w:jc w:val="both"/>
      </w:pPr>
      <w:r>
        <w:rPr>
          <w:rFonts w:ascii="Open Sans" w:hAnsi="Open Sans" w:cs="Open Sans"/>
          <w:sz w:val="26"/>
          <w:szCs w:val="26"/>
        </w:rPr>
        <w:t>5. Який набір вентилів є універсальним для квантових обчислень?</w:t>
      </w:r>
    </w:p>
    <w:p w:rsidR="00057299" w:rsidRDefault="00000000">
      <w:pPr>
        <w:ind w:left="709" w:hanging="283"/>
        <w:jc w:val="both"/>
      </w:pPr>
      <w:r>
        <w:rPr>
          <w:rFonts w:ascii="Open Sans" w:hAnsi="Open Sans" w:cs="Open Sans"/>
          <w:sz w:val="26"/>
          <w:szCs w:val="26"/>
        </w:rPr>
        <w:t>6. Яку загрозу становить алгоритм Шора для сучасної криптографії?</w:t>
      </w:r>
    </w:p>
    <w:p w:rsidR="00057299" w:rsidRDefault="00000000">
      <w:pPr>
        <w:ind w:left="709" w:hanging="283"/>
        <w:jc w:val="both"/>
      </w:pPr>
      <w:r>
        <w:rPr>
          <w:rFonts w:ascii="Open Sans" w:hAnsi="Open Sans" w:cs="Open Sans"/>
          <w:sz w:val="26"/>
          <w:szCs w:val="26"/>
        </w:rPr>
        <w:t>7. Як алгоритм Гровера впливає на симетричну криптографію?</w:t>
      </w:r>
    </w:p>
    <w:p w:rsidR="00057299" w:rsidRDefault="00000000">
      <w:pPr>
        <w:ind w:left="709" w:hanging="283"/>
        <w:jc w:val="both"/>
      </w:pPr>
      <w:r>
        <w:rPr>
          <w:rFonts w:ascii="Open Sans" w:hAnsi="Open Sans" w:cs="Open Sans"/>
          <w:sz w:val="26"/>
          <w:szCs w:val="26"/>
        </w:rPr>
        <w:t>8. Що таке клас BQP?</w:t>
      </w:r>
    </w:p>
    <w:p w:rsidR="00057299" w:rsidRDefault="00000000">
      <w:pPr>
        <w:ind w:left="709" w:hanging="283"/>
        <w:jc w:val="both"/>
      </w:pPr>
      <w:r>
        <w:rPr>
          <w:rFonts w:ascii="Open Sans" w:hAnsi="Open Sans" w:cs="Open Sans"/>
          <w:sz w:val="26"/>
          <w:szCs w:val="26"/>
        </w:rPr>
        <w:t>9. Назвіть три стандарти NIST PQC та їх призначення.</w:t>
      </w:r>
    </w:p>
    <w:p w:rsidR="00057299" w:rsidRDefault="00000000">
      <w:pPr>
        <w:ind w:left="709" w:hanging="283"/>
        <w:jc w:val="both"/>
      </w:pPr>
      <w:r>
        <w:rPr>
          <w:rFonts w:ascii="Open Sans" w:hAnsi="Open Sans" w:cs="Open Sans"/>
          <w:sz w:val="26"/>
          <w:szCs w:val="26"/>
        </w:rPr>
        <w:t>10. Що таке загроза HNDL?</w:t>
      </w:r>
    </w:p>
    <w:p w:rsidR="00057299" w:rsidRDefault="00057299"/>
    <w:p w:rsidR="00610F0F" w:rsidRDefault="00610F0F">
      <w:pPr>
        <w:rPr>
          <w:rFonts w:ascii="Open Sans" w:hAnsi="Open Sans" w:cs="Open Sans"/>
          <w:b/>
          <w:bCs/>
          <w:sz w:val="26"/>
          <w:szCs w:val="26"/>
        </w:rPr>
      </w:pPr>
      <w:r>
        <w:br w:type="page"/>
      </w:r>
    </w:p>
    <w:p w:rsidR="00057299" w:rsidRDefault="00000000">
      <w:pPr>
        <w:pStyle w:val="Heading2"/>
        <w:spacing w:before="200" w:after="100"/>
        <w:ind w:firstLine="567"/>
      </w:pPr>
      <w:r>
        <w:rPr>
          <w:rFonts w:eastAsia="Times New Roman"/>
        </w:rPr>
        <w:lastRenderedPageBreak/>
        <w:t>Список літератури</w:t>
      </w:r>
    </w:p>
    <w:p w:rsidR="00057299" w:rsidRDefault="00000000">
      <w:pPr>
        <w:ind w:left="709" w:hanging="283"/>
        <w:jc w:val="both"/>
      </w:pPr>
      <w:r>
        <w:rPr>
          <w:rFonts w:ascii="Open Sans" w:hAnsi="Open Sans" w:cs="Open Sans"/>
          <w:sz w:val="26"/>
          <w:szCs w:val="26"/>
        </w:rPr>
        <w:t>1. Nielsen M., Chuang I. Quantum Computation and Quantum Information. Cambridge University Press, 2010.</w:t>
      </w:r>
    </w:p>
    <w:p w:rsidR="00057299" w:rsidRDefault="00000000">
      <w:pPr>
        <w:ind w:left="709" w:hanging="283"/>
        <w:jc w:val="both"/>
      </w:pPr>
      <w:r>
        <w:rPr>
          <w:rFonts w:ascii="Open Sans" w:hAnsi="Open Sans" w:cs="Open Sans"/>
          <w:sz w:val="26"/>
          <w:szCs w:val="26"/>
        </w:rPr>
        <w:t>2. Shor P. Algorithms for quantum computation. FOCS, 1994.</w:t>
      </w:r>
    </w:p>
    <w:p w:rsidR="00057299" w:rsidRDefault="00000000">
      <w:pPr>
        <w:ind w:left="709" w:hanging="283"/>
        <w:jc w:val="both"/>
      </w:pPr>
      <w:r>
        <w:rPr>
          <w:rFonts w:ascii="Open Sans" w:hAnsi="Open Sans" w:cs="Open Sans"/>
          <w:sz w:val="26"/>
          <w:szCs w:val="26"/>
        </w:rPr>
        <w:t>3. Grover L. A fast quantum mechanical algorithm for database search. STOC, 1996.</w:t>
      </w:r>
    </w:p>
    <w:p w:rsidR="00057299" w:rsidRDefault="00000000">
      <w:pPr>
        <w:ind w:left="709" w:hanging="283"/>
        <w:jc w:val="both"/>
      </w:pPr>
      <w:r>
        <w:rPr>
          <w:rFonts w:ascii="Open Sans" w:hAnsi="Open Sans" w:cs="Open Sans"/>
          <w:sz w:val="26"/>
          <w:szCs w:val="26"/>
        </w:rPr>
        <w:t>4. NIST. Post-Quantum Cryptography Standardization. FIPS 203, 204, 205, 2024.</w:t>
      </w:r>
    </w:p>
    <w:p w:rsidR="00057299" w:rsidRDefault="00000000">
      <w:pPr>
        <w:ind w:left="709" w:hanging="283"/>
        <w:jc w:val="both"/>
      </w:pPr>
      <w:r>
        <w:rPr>
          <w:rFonts w:ascii="Open Sans" w:hAnsi="Open Sans" w:cs="Open Sans"/>
          <w:sz w:val="26"/>
          <w:szCs w:val="26"/>
        </w:rPr>
        <w:t>5. Preskill J. Quantum Computing in the NISQ era and beyond. Quantum, 2018.</w:t>
      </w:r>
    </w:p>
    <w:p w:rsidR="00057299" w:rsidRDefault="00000000">
      <w:pPr>
        <w:ind w:left="709" w:hanging="283"/>
        <w:jc w:val="both"/>
      </w:pPr>
      <w:r>
        <w:rPr>
          <w:rFonts w:ascii="Open Sans" w:hAnsi="Open Sans" w:cs="Open Sans"/>
          <w:sz w:val="26"/>
          <w:szCs w:val="26"/>
        </w:rPr>
        <w:t>6. Bernstein D., Lange T. Post-quantum cryptography. Nature, 2017.</w:t>
      </w:r>
    </w:p>
    <w:p w:rsidR="00057299" w:rsidRDefault="00000000">
      <w:pPr>
        <w:ind w:left="709" w:hanging="283"/>
        <w:jc w:val="both"/>
      </w:pPr>
      <w:r>
        <w:rPr>
          <w:rFonts w:ascii="Open Sans" w:hAnsi="Open Sans" w:cs="Open Sans"/>
          <w:sz w:val="26"/>
          <w:szCs w:val="26"/>
        </w:rPr>
        <w:t>7. Arute F. et al. Quantum supremacy using a programmable superconducting processor. Nature, 2019.</w:t>
      </w:r>
    </w:p>
    <w:p w:rsidR="00057299" w:rsidRDefault="00000000">
      <w:pPr>
        <w:ind w:left="709" w:hanging="283"/>
        <w:jc w:val="both"/>
      </w:pPr>
      <w:r>
        <w:rPr>
          <w:rFonts w:ascii="Open Sans" w:hAnsi="Open Sans" w:cs="Open Sans"/>
          <w:sz w:val="26"/>
          <w:szCs w:val="26"/>
        </w:rPr>
        <w:t>8. Bennett C., Brassard G. Quantum cryptography: public key distribution. TCS, 2014 (reprint of 1984).</w:t>
      </w:r>
    </w:p>
    <w:sectPr w:rsidR="00057299">
      <w:headerReference w:type="default" r:id="rId7"/>
      <w:footerReference w:type="default" r:id="rId8"/>
      <w:pgSz w:w="11906" w:h="16838"/>
      <w:pgMar w:top="1418" w:right="851" w:bottom="851" w:left="1418"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211EB0" w:rsidRDefault="00211EB0">
      <w:r>
        <w:separator/>
      </w:r>
    </w:p>
  </w:endnote>
  <w:endnote w:type="continuationSeparator" w:id="0">
    <w:p w:rsidR="00211EB0" w:rsidRDefault="00211E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Open Sans">
    <w:panose1 w:val="020B0606030504020204"/>
    <w:charset w:val="00"/>
    <w:family w:val="swiss"/>
    <w:pitch w:val="variable"/>
    <w:sig w:usb0="E00002EF" w:usb1="4000205B" w:usb2="00000028"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10F0F" w:rsidRDefault="00610F0F"/>
  <w:tbl>
    <w:tblPr>
      <w:tblW w:w="9498" w:type="dxa"/>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1086"/>
      <w:gridCol w:w="6285"/>
      <w:gridCol w:w="2127"/>
    </w:tblGrid>
    <w:tr w:rsidR="00057299">
      <w:tblPrEx>
        <w:tblCellMar>
          <w:top w:w="0" w:type="dxa"/>
          <w:bottom w:w="0" w:type="dxa"/>
        </w:tblCellMar>
      </w:tblPrEx>
      <w:trPr>
        <w:trHeight w:hRule="exact" w:val="707"/>
      </w:trPr>
      <w:tc>
        <w:tcPr>
          <w:tcW w:w="1086" w:type="dxa"/>
          <w:tcBorders>
            <w:top w:val="nil"/>
            <w:left w:val="nil"/>
            <w:bottom w:val="nil"/>
            <w:right w:val="nil"/>
          </w:tcBorders>
          <w:vAlign w:val="bottom"/>
        </w:tcPr>
        <w:p w:rsidR="00057299" w:rsidRDefault="00000000">
          <w:r>
            <w:rPr>
              <w:noProof/>
            </w:rPr>
            <w:drawing>
              <wp:inline distT="0" distB="0" distL="0" distR="0">
                <wp:extent cx="542925" cy="361950"/>
                <wp:effectExtent l="0" t="0" r="0" b="0"/>
                <wp:docPr id="548029040" name="Picture 548029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542925" cy="361950"/>
                        </a:xfrm>
                        <a:prstGeom prst="rect">
                          <a:avLst/>
                        </a:prstGeom>
                      </pic:spPr>
                    </pic:pic>
                  </a:graphicData>
                </a:graphic>
              </wp:inline>
            </w:drawing>
          </w:r>
        </w:p>
      </w:tc>
      <w:tc>
        <w:tcPr>
          <w:tcW w:w="6285" w:type="dxa"/>
          <w:tcBorders>
            <w:top w:val="nil"/>
            <w:left w:val="nil"/>
            <w:bottom w:val="nil"/>
            <w:right w:val="nil"/>
          </w:tcBorders>
        </w:tcPr>
        <w:p w:rsidR="00057299" w:rsidRDefault="00000000">
          <w:r>
            <w:rPr>
              <w:rFonts w:ascii="Open Sans" w:hAnsi="Open Sans" w:cs="Open Sans"/>
              <w:b/>
              <w:bCs/>
              <w:color w:val="000000"/>
              <w:sz w:val="14"/>
              <w:szCs w:val="14"/>
            </w:rPr>
            <w:t>SECURE ERASMUS-EDU-2024-CBHE</w:t>
          </w:r>
        </w:p>
        <w:p w:rsidR="00057299" w:rsidRDefault="00000000">
          <w:r>
            <w:rPr>
              <w:rFonts w:ascii="Open Sans" w:hAnsi="Open Sans" w:cs="Open Sans"/>
              <w:color w:val="000000"/>
              <w:sz w:val="14"/>
              <w:szCs w:val="14"/>
            </w:rPr>
            <w:t>Цей проект отримав фінансування від програми Європейського Союзу Erasmus+</w:t>
          </w:r>
        </w:p>
        <w:p w:rsidR="00057299" w:rsidRDefault="00000000">
          <w:r>
            <w:rPr>
              <w:rFonts w:ascii="Open Sans" w:hAnsi="Open Sans" w:cs="Open Sans"/>
              <w:color w:val="000000"/>
              <w:sz w:val="14"/>
              <w:szCs w:val="14"/>
            </w:rPr>
            <w:t>«Розбудова потенціалу у сфері вищої освіти», ідентифікаційний номер проекту 101179818</w:t>
          </w:r>
        </w:p>
      </w:tc>
      <w:tc>
        <w:tcPr>
          <w:tcW w:w="2127" w:type="dxa"/>
          <w:tcBorders>
            <w:top w:val="nil"/>
            <w:left w:val="nil"/>
            <w:bottom w:val="nil"/>
            <w:right w:val="nil"/>
          </w:tcBorders>
        </w:tcPr>
        <w:p w:rsidR="00057299" w:rsidRDefault="00057299"/>
        <w:p w:rsidR="00057299" w:rsidRDefault="00000000">
          <w:pPr>
            <w:jc w:val="right"/>
          </w:pPr>
          <w:hyperlink r:id="rId2" w:history="1">
            <w:r>
              <w:rPr>
                <w:rStyle w:val="Hyperlink"/>
                <w:rFonts w:ascii="Open Sans" w:hAnsi="Open Sans" w:cs="Open Sans"/>
                <w:color w:val="1155CC"/>
                <w:sz w:val="14"/>
                <w:szCs w:val="14"/>
              </w:rPr>
              <w:t>https://erasmus-secure.eu/</w:t>
            </w:r>
          </w:hyperlink>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211EB0" w:rsidRDefault="00211EB0">
      <w:r>
        <w:separator/>
      </w:r>
    </w:p>
  </w:footnote>
  <w:footnote w:type="continuationSeparator" w:id="0">
    <w:p w:rsidR="00211EB0" w:rsidRDefault="00211E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57299" w:rsidRDefault="00000000">
    <w:pPr>
      <w:jc w:val="right"/>
      <w:rPr>
        <w:lang w:val="uk-UA"/>
      </w:rPr>
    </w:pPr>
    <w:r>
      <w:rPr>
        <w:noProof/>
      </w:rPr>
      <w:drawing>
        <wp:inline distT="0" distB="0" distL="0" distR="0">
          <wp:extent cx="1590675" cy="400050"/>
          <wp:effectExtent l="0" t="0" r="0" b="0"/>
          <wp:docPr id="1041338664" name="Picture 1041338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1590675" cy="400050"/>
                  </a:xfrm>
                  <a:prstGeom prst="rect">
                    <a:avLst/>
                  </a:prstGeom>
                </pic:spPr>
              </pic:pic>
            </a:graphicData>
          </a:graphic>
        </wp:inline>
      </w:drawing>
    </w:r>
  </w:p>
  <w:p w:rsidR="00610F0F" w:rsidRPr="00610F0F" w:rsidRDefault="00610F0F">
    <w:pPr>
      <w:jc w:val="right"/>
      <w:rPr>
        <w:lang w:val="uk-U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465F00"/>
    <w:multiLevelType w:val="hybridMultilevel"/>
    <w:tmpl w:val="B712D492"/>
    <w:lvl w:ilvl="0" w:tplc="8702DE4C">
      <w:start w:val="1"/>
      <w:numFmt w:val="bullet"/>
      <w:lvlText w:val="●"/>
      <w:lvlJc w:val="left"/>
      <w:pPr>
        <w:ind w:left="720" w:hanging="360"/>
      </w:pPr>
    </w:lvl>
    <w:lvl w:ilvl="1" w:tplc="9E7812C8">
      <w:start w:val="1"/>
      <w:numFmt w:val="bullet"/>
      <w:lvlText w:val="○"/>
      <w:lvlJc w:val="left"/>
      <w:pPr>
        <w:ind w:left="1440" w:hanging="360"/>
      </w:pPr>
    </w:lvl>
    <w:lvl w:ilvl="2" w:tplc="CBB46B90">
      <w:start w:val="1"/>
      <w:numFmt w:val="bullet"/>
      <w:lvlText w:val="■"/>
      <w:lvlJc w:val="left"/>
      <w:pPr>
        <w:ind w:left="2160" w:hanging="360"/>
      </w:pPr>
    </w:lvl>
    <w:lvl w:ilvl="3" w:tplc="13B6B0E6">
      <w:start w:val="1"/>
      <w:numFmt w:val="bullet"/>
      <w:lvlText w:val="●"/>
      <w:lvlJc w:val="left"/>
      <w:pPr>
        <w:ind w:left="2880" w:hanging="360"/>
      </w:pPr>
    </w:lvl>
    <w:lvl w:ilvl="4" w:tplc="DEB69B44">
      <w:start w:val="1"/>
      <w:numFmt w:val="bullet"/>
      <w:lvlText w:val="○"/>
      <w:lvlJc w:val="left"/>
      <w:pPr>
        <w:ind w:left="3600" w:hanging="360"/>
      </w:pPr>
    </w:lvl>
    <w:lvl w:ilvl="5" w:tplc="0E2AD508">
      <w:start w:val="1"/>
      <w:numFmt w:val="bullet"/>
      <w:lvlText w:val="■"/>
      <w:lvlJc w:val="left"/>
      <w:pPr>
        <w:ind w:left="4320" w:hanging="360"/>
      </w:pPr>
    </w:lvl>
    <w:lvl w:ilvl="6" w:tplc="3AA8BDC2">
      <w:start w:val="1"/>
      <w:numFmt w:val="bullet"/>
      <w:lvlText w:val="●"/>
      <w:lvlJc w:val="left"/>
      <w:pPr>
        <w:ind w:left="5040" w:hanging="360"/>
      </w:pPr>
    </w:lvl>
    <w:lvl w:ilvl="7" w:tplc="32FC69C4">
      <w:start w:val="1"/>
      <w:numFmt w:val="bullet"/>
      <w:lvlText w:val="●"/>
      <w:lvlJc w:val="left"/>
      <w:pPr>
        <w:ind w:left="5760" w:hanging="360"/>
      </w:pPr>
    </w:lvl>
    <w:lvl w:ilvl="8" w:tplc="F40AEA08">
      <w:start w:val="1"/>
      <w:numFmt w:val="bullet"/>
      <w:lvlText w:val="●"/>
      <w:lvlJc w:val="left"/>
      <w:pPr>
        <w:ind w:left="6480" w:hanging="360"/>
      </w:pPr>
    </w:lvl>
  </w:abstractNum>
  <w:num w:numId="1" w16cid:durableId="186791074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7299"/>
    <w:rsid w:val="00057299"/>
    <w:rsid w:val="00211EB0"/>
    <w:rsid w:val="00610F0F"/>
    <w:rsid w:val="00950CA5"/>
    <w:rsid w:val="009E300A"/>
    <w:rsid w:val="00F13CB4"/>
  </w:rsids>
  <m:mathPr>
    <m:mathFont m:val="Cambria Math"/>
    <m:brkBin m:val="before"/>
    <m:brkBinSub m:val="--"/>
    <m:smallFrac m:val="0"/>
    <m:dispDef/>
    <m:lMargin m:val="0"/>
    <m:rMargin m:val="0"/>
    <m:defJc m:val="centerGroup"/>
    <m:wrapIndent m:val="1440"/>
    <m:intLim m:val="subSup"/>
    <m:naryLim m:val="undOvr"/>
  </m:mathPr>
  <w:themeFontLang w:val="en-UA"/>
  <w:clrSchemeMapping w:bg1="light1" w:t1="dark1" w:bg2="light2" w:t2="dark2" w:accent1="accent1" w:accent2="accent2" w:accent3="accent3" w:accent4="accent4" w:accent5="accent5" w:accent6="accent6" w:hyperlink="hyperlink" w:followedHyperlink="followedHyperlink"/>
  <w:decimalSymbol w:val=","/>
  <w:listSeparator w:val=","/>
  <w14:docId w14:val="3E19B654"/>
  <w15:docId w15:val="{742B6794-D8BB-A24A-8130-B01A940D2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A"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jc w:val="center"/>
      <w:outlineLvl w:val="0"/>
    </w:pPr>
    <w:rPr>
      <w:rFonts w:ascii="Open Sans" w:eastAsia="Open Sans" w:hAnsi="Open Sans" w:cs="Open Sans"/>
      <w:b/>
      <w:bCs/>
      <w:sz w:val="28"/>
      <w:szCs w:val="28"/>
    </w:rPr>
  </w:style>
  <w:style w:type="paragraph" w:styleId="Heading2">
    <w:name w:val="heading 2"/>
    <w:uiPriority w:val="9"/>
    <w:unhideWhenUsed/>
    <w:qFormat/>
    <w:pPr>
      <w:jc w:val="both"/>
      <w:outlineLvl w:val="1"/>
    </w:pPr>
    <w:rPr>
      <w:rFonts w:ascii="Open Sans" w:eastAsia="Open Sans" w:hAnsi="Open Sans" w:cs="Open Sans"/>
      <w:b/>
      <w:bCs/>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610F0F"/>
    <w:pPr>
      <w:tabs>
        <w:tab w:val="center" w:pos="4513"/>
        <w:tab w:val="right" w:pos="9026"/>
      </w:tabs>
    </w:pPr>
  </w:style>
  <w:style w:type="character" w:customStyle="1" w:styleId="HeaderChar">
    <w:name w:val="Header Char"/>
    <w:basedOn w:val="DefaultParagraphFont"/>
    <w:link w:val="Header"/>
    <w:uiPriority w:val="99"/>
    <w:rsid w:val="00610F0F"/>
  </w:style>
  <w:style w:type="paragraph" w:styleId="Footer">
    <w:name w:val="footer"/>
    <w:basedOn w:val="Normal"/>
    <w:link w:val="FooterChar"/>
    <w:uiPriority w:val="99"/>
    <w:unhideWhenUsed/>
    <w:rsid w:val="00610F0F"/>
    <w:pPr>
      <w:tabs>
        <w:tab w:val="center" w:pos="4513"/>
        <w:tab w:val="right" w:pos="9026"/>
      </w:tabs>
    </w:pPr>
  </w:style>
  <w:style w:type="character" w:customStyle="1" w:styleId="FooterChar">
    <w:name w:val="Footer Char"/>
    <w:basedOn w:val="DefaultParagraphFont"/>
    <w:link w:val="Footer"/>
    <w:uiPriority w:val="99"/>
    <w:rsid w:val="00610F0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2" Type="http://schemas.openxmlformats.org/officeDocument/2006/relationships/hyperlink" Target="https://erasmus-secure.eu/" TargetMode="External"/><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20</Pages>
  <Words>5270</Words>
  <Characters>30043</Characters>
  <Application>Microsoft Office Word</Application>
  <DocSecurity>0</DocSecurity>
  <Lines>250</Lines>
  <Paragraphs>70</Paragraphs>
  <ScaleCrop>false</ScaleCrop>
  <Company/>
  <LinksUpToDate>false</LinksUpToDate>
  <CharactersWithSpaces>35243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Dmytro Bilozor</dc:creator>
  <cp:lastModifiedBy>Dima Bil</cp:lastModifiedBy>
  <cp:revision>4</cp:revision>
  <dcterms:created xsi:type="dcterms:W3CDTF">2026-04-07T13:06:00Z</dcterms:created>
  <dcterms:modified xsi:type="dcterms:W3CDTF">2026-04-07T13:08:00Z</dcterms:modified>
</cp:coreProperties>
</file>