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A392" w14:textId="77777777" w:rsidR="002815F9" w:rsidRDefault="005A1D80">
      <w:r>
        <w:t>Master’s thesis</w:t>
      </w:r>
    </w:p>
    <w:p w14:paraId="30CCCF6A" w14:textId="77777777" w:rsidR="00E241BE" w:rsidRDefault="00E241BE"/>
    <w:p w14:paraId="3C3DD1E7" w14:textId="77777777" w:rsidR="00E241BE" w:rsidRDefault="00E241BE">
      <w:r>
        <w:t>Length:</w:t>
      </w:r>
    </w:p>
    <w:p w14:paraId="2AAA4DD5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>Referencing: APA 6</w:t>
      </w:r>
      <w:r w:rsidRPr="00E241BE">
        <w:rPr>
          <w:vertAlign w:val="superscript"/>
        </w:rPr>
        <w:t>th</w:t>
      </w:r>
      <w:r>
        <w:t xml:space="preserve"> or 7</w:t>
      </w:r>
      <w:r w:rsidRPr="00E241BE">
        <w:rPr>
          <w:vertAlign w:val="superscript"/>
        </w:rPr>
        <w:t>th</w:t>
      </w:r>
    </w:p>
    <w:p w14:paraId="62789FB8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 xml:space="preserve">Empirical theses: </w:t>
      </w:r>
      <w:r w:rsidR="00133824">
        <w:t>Normally 30-40 pages, n</w:t>
      </w:r>
      <w:r>
        <w:t>o longer than 50 pages</w:t>
      </w:r>
      <w:r w:rsidR="001E6794">
        <w:t>,</w:t>
      </w:r>
      <w:r>
        <w:t xml:space="preserve"> including figures and tables, </w:t>
      </w:r>
      <w:r>
        <w:rPr>
          <w:u w:val="single"/>
        </w:rPr>
        <w:t>excluding references, front page, table of contents, and abstract.</w:t>
      </w:r>
    </w:p>
    <w:p w14:paraId="489450A7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>Page and word formatting: A4, Times New Roman 12, paragraph 1.5, frame 2.5 cm</w:t>
      </w:r>
    </w:p>
    <w:p w14:paraId="7CE6E557" w14:textId="77777777" w:rsidR="00133824" w:rsidRDefault="00133824" w:rsidP="00E241BE">
      <w:pPr>
        <w:pStyle w:val="Listeavsnitt"/>
        <w:numPr>
          <w:ilvl w:val="0"/>
          <w:numId w:val="1"/>
        </w:numPr>
      </w:pPr>
      <w:r>
        <w:t>Abstract: up to 500 words</w:t>
      </w:r>
    </w:p>
    <w:p w14:paraId="40F9302B" w14:textId="77777777" w:rsidR="00E241BE" w:rsidRDefault="00E241BE" w:rsidP="00E241BE">
      <w:r>
        <w:t>Elements:</w:t>
      </w:r>
    </w:p>
    <w:p w14:paraId="32B9BB50" w14:textId="5BF35E06" w:rsidR="00E241BE" w:rsidRDefault="00ED1B5B" w:rsidP="00E241BE">
      <w:pPr>
        <w:pStyle w:val="Listeavsnitt"/>
        <w:numPr>
          <w:ilvl w:val="0"/>
          <w:numId w:val="1"/>
        </w:numPr>
      </w:pPr>
      <w:r>
        <w:t>Frontpage</w:t>
      </w:r>
    </w:p>
    <w:p w14:paraId="1A53AFCD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>Table of contents</w:t>
      </w:r>
    </w:p>
    <w:p w14:paraId="178C06BE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>Acknowledgments</w:t>
      </w:r>
    </w:p>
    <w:p w14:paraId="71EB747F" w14:textId="77777777" w:rsidR="007E1A00" w:rsidRPr="007E1A00" w:rsidRDefault="007E1A00" w:rsidP="007E1A00">
      <w:pPr>
        <w:pStyle w:val="Listeavsnitt"/>
        <w:numPr>
          <w:ilvl w:val="1"/>
          <w:numId w:val="1"/>
        </w:numPr>
        <w:rPr>
          <w:lang w:val="nb-NO"/>
        </w:rPr>
      </w:pPr>
      <w:r w:rsidRPr="007E1A00">
        <w:rPr>
          <w:lang w:val="nb-NO"/>
        </w:rPr>
        <w:t xml:space="preserve">Østfold </w:t>
      </w:r>
      <w:r w:rsidR="000E2626">
        <w:rPr>
          <w:lang w:val="nb-NO"/>
        </w:rPr>
        <w:t>sykehus</w:t>
      </w:r>
      <w:r w:rsidRPr="007E1A00">
        <w:rPr>
          <w:lang w:val="nb-NO"/>
        </w:rPr>
        <w:t xml:space="preserve">, Andre Sevenius, Carsten Bundt, </w:t>
      </w:r>
      <w:r>
        <w:rPr>
          <w:lang w:val="nb-NO"/>
        </w:rPr>
        <w:t xml:space="preserve">Ingmar Clausen, Ingrid Autran, </w:t>
      </w:r>
      <w:r w:rsidR="000E2626">
        <w:rPr>
          <w:lang w:val="nb-NO"/>
        </w:rPr>
        <w:t>Lowan Stewart</w:t>
      </w:r>
    </w:p>
    <w:p w14:paraId="70E1254B" w14:textId="77777777" w:rsidR="00E241BE" w:rsidRDefault="006F2915" w:rsidP="00E241BE">
      <w:pPr>
        <w:pStyle w:val="Listeavsnitt"/>
        <w:numPr>
          <w:ilvl w:val="0"/>
          <w:numId w:val="1"/>
        </w:numPr>
      </w:pPr>
      <w:r>
        <w:t>Introduction</w:t>
      </w:r>
    </w:p>
    <w:p w14:paraId="0860A383" w14:textId="77777777" w:rsidR="000E2626" w:rsidRDefault="006F2915" w:rsidP="000E2626">
      <w:pPr>
        <w:pStyle w:val="Listeavsnitt"/>
        <w:numPr>
          <w:ilvl w:val="1"/>
          <w:numId w:val="1"/>
        </w:numPr>
      </w:pPr>
      <w:r>
        <w:t>Background</w:t>
      </w:r>
    </w:p>
    <w:p w14:paraId="7E6D9667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Hypothesis &amp; research question</w:t>
      </w:r>
    </w:p>
    <w:p w14:paraId="4D2FE800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>Methodology</w:t>
      </w:r>
    </w:p>
    <w:p w14:paraId="41E42822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Sampling</w:t>
      </w:r>
    </w:p>
    <w:p w14:paraId="68E47BE9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EEG</w:t>
      </w:r>
    </w:p>
    <w:p w14:paraId="20729880" w14:textId="77777777" w:rsidR="006F2915" w:rsidRDefault="006F2915" w:rsidP="006F2915">
      <w:pPr>
        <w:pStyle w:val="Listeavsnitt"/>
        <w:numPr>
          <w:ilvl w:val="2"/>
          <w:numId w:val="1"/>
        </w:numPr>
      </w:pPr>
      <w:r>
        <w:t>Active electrodes</w:t>
      </w:r>
    </w:p>
    <w:p w14:paraId="67512DD4" w14:textId="77777777" w:rsidR="006F2915" w:rsidRDefault="006F2915" w:rsidP="006F2915">
      <w:pPr>
        <w:pStyle w:val="Listeavsnitt"/>
        <w:numPr>
          <w:ilvl w:val="2"/>
          <w:numId w:val="1"/>
        </w:numPr>
      </w:pPr>
      <w:r>
        <w:t>10/20 system</w:t>
      </w:r>
    </w:p>
    <w:p w14:paraId="30581B39" w14:textId="77777777" w:rsidR="006F2915" w:rsidRDefault="006F2915" w:rsidP="006F2915">
      <w:pPr>
        <w:pStyle w:val="Listeavsnitt"/>
        <w:numPr>
          <w:ilvl w:val="2"/>
          <w:numId w:val="1"/>
        </w:numPr>
      </w:pPr>
      <w:r>
        <w:t>32 electrodes</w:t>
      </w:r>
    </w:p>
    <w:p w14:paraId="3F192130" w14:textId="77777777" w:rsidR="006F2915" w:rsidRDefault="006F2915" w:rsidP="006F2915">
      <w:pPr>
        <w:pStyle w:val="Listeavsnitt"/>
        <w:numPr>
          <w:ilvl w:val="2"/>
          <w:numId w:val="1"/>
        </w:numPr>
      </w:pPr>
      <w:r>
        <w:t>Sampling rate</w:t>
      </w:r>
    </w:p>
    <w:p w14:paraId="421B1337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Saliva sampling</w:t>
      </w:r>
    </w:p>
    <w:p w14:paraId="23BD0A96" w14:textId="77777777" w:rsidR="007E1A00" w:rsidRDefault="007E1A00" w:rsidP="006F2915">
      <w:pPr>
        <w:pStyle w:val="Listeavsnitt"/>
        <w:numPr>
          <w:ilvl w:val="2"/>
          <w:numId w:val="1"/>
        </w:numPr>
      </w:pPr>
      <w:r>
        <w:t xml:space="preserve">Storage </w:t>
      </w:r>
    </w:p>
    <w:p w14:paraId="264BDBA9" w14:textId="77777777" w:rsidR="006F2915" w:rsidRDefault="007E1A00" w:rsidP="006F2915">
      <w:pPr>
        <w:pStyle w:val="Listeavsnitt"/>
        <w:numPr>
          <w:ilvl w:val="2"/>
          <w:numId w:val="1"/>
        </w:numPr>
      </w:pPr>
      <w:r>
        <w:t>QPCR analysis</w:t>
      </w:r>
    </w:p>
    <w:p w14:paraId="47369A97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Questionnaires</w:t>
      </w:r>
    </w:p>
    <w:p w14:paraId="14D5758A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>Results</w:t>
      </w:r>
    </w:p>
    <w:p w14:paraId="5C0AEB13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Spectral EEG analysis</w:t>
      </w:r>
    </w:p>
    <w:p w14:paraId="29E91DBB" w14:textId="77777777" w:rsidR="006F2915" w:rsidRDefault="006F2915" w:rsidP="006F2915">
      <w:pPr>
        <w:pStyle w:val="Listeavsnitt"/>
        <w:numPr>
          <w:ilvl w:val="1"/>
          <w:numId w:val="1"/>
        </w:numPr>
      </w:pPr>
    </w:p>
    <w:p w14:paraId="6F266300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 xml:space="preserve">Discussion </w:t>
      </w:r>
    </w:p>
    <w:p w14:paraId="2EB0EF90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>References</w:t>
      </w:r>
    </w:p>
    <w:p w14:paraId="54E324D4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>Additional material</w:t>
      </w:r>
    </w:p>
    <w:p w14:paraId="2908B7BA" w14:textId="77777777" w:rsidR="000E2626" w:rsidRDefault="000E2626" w:rsidP="000E2626"/>
    <w:p w14:paraId="4E7D24D3" w14:textId="77777777" w:rsidR="000E2626" w:rsidRDefault="000E2626" w:rsidP="000E2626"/>
    <w:p w14:paraId="31FA8CB8" w14:textId="77777777" w:rsidR="000E2626" w:rsidRDefault="000E2626" w:rsidP="000E2626"/>
    <w:p w14:paraId="73F52F0E" w14:textId="77777777" w:rsidR="000E2626" w:rsidRDefault="000E2626" w:rsidP="000E2626"/>
    <w:p w14:paraId="201B1F7A" w14:textId="77777777" w:rsidR="000E2626" w:rsidRDefault="000E2626" w:rsidP="000E2626"/>
    <w:p w14:paraId="4B935AAB" w14:textId="77777777" w:rsidR="000E2626" w:rsidRDefault="000E2626" w:rsidP="000E2626">
      <w:r>
        <w:t>Introduction</w:t>
      </w:r>
    </w:p>
    <w:p w14:paraId="6F0A39AB" w14:textId="77777777" w:rsidR="000E2626" w:rsidRDefault="000E2626" w:rsidP="000E2626">
      <w:pPr>
        <w:pStyle w:val="Listeavsnitt"/>
        <w:numPr>
          <w:ilvl w:val="0"/>
          <w:numId w:val="2"/>
        </w:numPr>
      </w:pPr>
      <w:r>
        <w:t>Background</w:t>
      </w:r>
    </w:p>
    <w:p w14:paraId="462776DA" w14:textId="77777777" w:rsidR="001A4B54" w:rsidRDefault="00ED1B5B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aims </w:t>
      </w:r>
      <w:r w:rsidR="00025E16">
        <w:rPr>
          <w:rFonts w:ascii="Times New Roman" w:hAnsi="Times New Roman" w:cs="Times New Roman"/>
          <w:sz w:val="24"/>
          <w:szCs w:val="24"/>
        </w:rPr>
        <w:t xml:space="preserve">to </w:t>
      </w:r>
      <w:r w:rsidR="006522BD">
        <w:rPr>
          <w:rFonts w:ascii="Times New Roman" w:hAnsi="Times New Roman" w:cs="Times New Roman"/>
          <w:sz w:val="24"/>
          <w:szCs w:val="24"/>
        </w:rPr>
        <w:t xml:space="preserve">better </w:t>
      </w:r>
      <w:r w:rsidR="00025E16">
        <w:rPr>
          <w:rFonts w:ascii="Times New Roman" w:hAnsi="Times New Roman" w:cs="Times New Roman"/>
          <w:sz w:val="24"/>
          <w:szCs w:val="24"/>
        </w:rPr>
        <w:t xml:space="preserve">understand </w:t>
      </w:r>
      <w:r>
        <w:rPr>
          <w:rFonts w:ascii="Times New Roman" w:hAnsi="Times New Roman" w:cs="Times New Roman"/>
          <w:sz w:val="24"/>
          <w:szCs w:val="24"/>
        </w:rPr>
        <w:t xml:space="preserve">the role of experience in </w:t>
      </w:r>
      <w:r w:rsidR="00F81B20">
        <w:rPr>
          <w:rFonts w:ascii="Times New Roman" w:hAnsi="Times New Roman" w:cs="Times New Roman"/>
          <w:sz w:val="24"/>
          <w:szCs w:val="24"/>
        </w:rPr>
        <w:t>ketamine</w:t>
      </w:r>
      <w:r>
        <w:rPr>
          <w:rFonts w:ascii="Times New Roman" w:hAnsi="Times New Roman" w:cs="Times New Roman"/>
          <w:sz w:val="24"/>
          <w:szCs w:val="24"/>
        </w:rPr>
        <w:t xml:space="preserve"> therapy</w:t>
      </w:r>
      <w:r w:rsidR="00F81B20">
        <w:rPr>
          <w:rFonts w:ascii="Times New Roman" w:hAnsi="Times New Roman" w:cs="Times New Roman"/>
          <w:sz w:val="24"/>
          <w:szCs w:val="24"/>
        </w:rPr>
        <w:t xml:space="preserve"> for treatment-resistant depression (TRD)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B033DE" w14:textId="1C24ADAD" w:rsidR="00B27AB8" w:rsidRDefault="00175961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</w:t>
      </w:r>
      <w:r w:rsidR="00FD619F">
        <w:rPr>
          <w:rFonts w:ascii="Times New Roman" w:hAnsi="Times New Roman" w:cs="Times New Roman"/>
          <w:sz w:val="24"/>
          <w:szCs w:val="24"/>
        </w:rPr>
        <w:t xml:space="preserve"> ketamine treatment has proven to be </w:t>
      </w:r>
      <w:r w:rsidR="007578D6">
        <w:rPr>
          <w:rFonts w:ascii="Times New Roman" w:hAnsi="Times New Roman" w:cs="Times New Roman"/>
          <w:sz w:val="24"/>
          <w:szCs w:val="24"/>
        </w:rPr>
        <w:t xml:space="preserve">a </w:t>
      </w:r>
      <w:r w:rsidR="00C677AA">
        <w:rPr>
          <w:rFonts w:ascii="Times New Roman" w:hAnsi="Times New Roman" w:cs="Times New Roman"/>
          <w:sz w:val="24"/>
          <w:szCs w:val="24"/>
        </w:rPr>
        <w:t>rapid-acting</w:t>
      </w:r>
      <w:r w:rsidR="007578D6">
        <w:rPr>
          <w:rFonts w:ascii="Times New Roman" w:hAnsi="Times New Roman" w:cs="Times New Roman"/>
          <w:sz w:val="24"/>
          <w:szCs w:val="24"/>
        </w:rPr>
        <w:t xml:space="preserve"> antidepressant compound</w:t>
      </w:r>
      <w:r w:rsidR="000F4AC9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0"/>
      <w:r w:rsidR="000F4AC9">
        <w:rPr>
          <w:rFonts w:ascii="Times New Roman" w:hAnsi="Times New Roman" w:cs="Times New Roman"/>
          <w:sz w:val="24"/>
          <w:szCs w:val="24"/>
        </w:rPr>
        <w:t>Hyde, 2015</w:t>
      </w:r>
      <w:commentRangeEnd w:id="0"/>
      <w:r w:rsidR="000F4AC9">
        <w:rPr>
          <w:rStyle w:val="Merknadsreferanse"/>
        </w:rPr>
        <w:commentReference w:id="0"/>
      </w:r>
      <w:r w:rsidR="000F4AC9">
        <w:rPr>
          <w:rFonts w:ascii="Times New Roman" w:hAnsi="Times New Roman" w:cs="Times New Roman"/>
          <w:sz w:val="24"/>
          <w:szCs w:val="24"/>
        </w:rPr>
        <w:t>)</w:t>
      </w:r>
      <w:r w:rsidR="007578D6">
        <w:rPr>
          <w:rFonts w:ascii="Times New Roman" w:hAnsi="Times New Roman" w:cs="Times New Roman"/>
          <w:sz w:val="24"/>
          <w:szCs w:val="24"/>
        </w:rPr>
        <w:t>, c</w:t>
      </w:r>
      <w:r w:rsidR="006F23DF">
        <w:rPr>
          <w:rFonts w:ascii="Times New Roman" w:hAnsi="Times New Roman" w:cs="Times New Roman"/>
          <w:sz w:val="24"/>
          <w:szCs w:val="24"/>
        </w:rPr>
        <w:t xml:space="preserve">urrently, there is lacking research on </w:t>
      </w:r>
      <w:r w:rsidR="008D534E">
        <w:rPr>
          <w:rFonts w:ascii="Times New Roman" w:hAnsi="Times New Roman" w:cs="Times New Roman"/>
          <w:sz w:val="24"/>
          <w:szCs w:val="24"/>
        </w:rPr>
        <w:t xml:space="preserve">the individual differences </w:t>
      </w:r>
      <w:r w:rsidR="00C677AA">
        <w:rPr>
          <w:rFonts w:ascii="Times New Roman" w:hAnsi="Times New Roman" w:cs="Times New Roman"/>
          <w:sz w:val="24"/>
          <w:szCs w:val="24"/>
        </w:rPr>
        <w:t>of the treatment</w:t>
      </w:r>
      <w:r w:rsidR="008D534E">
        <w:rPr>
          <w:rFonts w:ascii="Times New Roman" w:hAnsi="Times New Roman" w:cs="Times New Roman"/>
          <w:sz w:val="24"/>
          <w:szCs w:val="24"/>
        </w:rPr>
        <w:t xml:space="preserve">. For instance, </w:t>
      </w:r>
    </w:p>
    <w:p w14:paraId="1B679D2E" w14:textId="77777777" w:rsidR="00B27AB8" w:rsidRDefault="00B27AB8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15077" w14:textId="77777777" w:rsidR="00B27AB8" w:rsidRDefault="00B27AB8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EDC12" w14:textId="7105AA40" w:rsidR="006F23DF" w:rsidRDefault="008D534E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among TR-D patients, </w:t>
      </w:r>
      <w:r w:rsidR="00175961">
        <w:rPr>
          <w:rFonts w:ascii="Times New Roman" w:hAnsi="Times New Roman" w:cs="Times New Roman"/>
          <w:sz w:val="24"/>
          <w:szCs w:val="24"/>
        </w:rPr>
        <w:t xml:space="preserve">around </w:t>
      </w:r>
      <w:r w:rsidR="00BF6C52">
        <w:rPr>
          <w:rFonts w:ascii="Times New Roman" w:hAnsi="Times New Roman" w:cs="Times New Roman"/>
          <w:sz w:val="24"/>
          <w:szCs w:val="24"/>
        </w:rPr>
        <w:t xml:space="preserve">50% </w:t>
      </w:r>
      <w:r w:rsidR="000668EB">
        <w:rPr>
          <w:rFonts w:ascii="Times New Roman" w:hAnsi="Times New Roman" w:cs="Times New Roman"/>
          <w:sz w:val="24"/>
          <w:szCs w:val="24"/>
        </w:rPr>
        <w:t>achieve remission</w:t>
      </w:r>
      <w:r w:rsidR="000241D1">
        <w:rPr>
          <w:rFonts w:ascii="Times New Roman" w:hAnsi="Times New Roman" w:cs="Times New Roman"/>
          <w:sz w:val="24"/>
          <w:szCs w:val="24"/>
        </w:rPr>
        <w:t xml:space="preserve">, </w:t>
      </w:r>
      <w:r w:rsidR="00400EFC">
        <w:rPr>
          <w:rFonts w:ascii="Times New Roman" w:hAnsi="Times New Roman" w:cs="Times New Roman"/>
          <w:sz w:val="24"/>
          <w:szCs w:val="24"/>
        </w:rPr>
        <w:t xml:space="preserve">but there are still </w:t>
      </w:r>
      <w:r w:rsidR="008C0D68">
        <w:rPr>
          <w:rFonts w:ascii="Times New Roman" w:hAnsi="Times New Roman" w:cs="Times New Roman"/>
          <w:sz w:val="24"/>
          <w:szCs w:val="24"/>
        </w:rPr>
        <w:t>varying</w:t>
      </w:r>
      <w:r w:rsidR="00AC741E">
        <w:rPr>
          <w:rFonts w:ascii="Times New Roman" w:hAnsi="Times New Roman" w:cs="Times New Roman"/>
          <w:sz w:val="24"/>
          <w:szCs w:val="24"/>
        </w:rPr>
        <w:t xml:space="preserve"> </w:t>
      </w:r>
      <w:r w:rsidR="00400EFC">
        <w:rPr>
          <w:rFonts w:ascii="Times New Roman" w:hAnsi="Times New Roman" w:cs="Times New Roman"/>
          <w:sz w:val="24"/>
          <w:szCs w:val="24"/>
        </w:rPr>
        <w:t xml:space="preserve">reports of dropout rates </w:t>
      </w:r>
      <w:r w:rsidR="002A300E">
        <w:rPr>
          <w:rFonts w:ascii="Times New Roman" w:hAnsi="Times New Roman" w:cs="Times New Roman"/>
          <w:sz w:val="24"/>
          <w:szCs w:val="24"/>
        </w:rPr>
        <w:t>following adverse events (</w:t>
      </w:r>
      <w:r w:rsidR="009673AB">
        <w:rPr>
          <w:rFonts w:ascii="Times New Roman" w:hAnsi="Times New Roman" w:cs="Times New Roman"/>
          <w:sz w:val="24"/>
          <w:szCs w:val="24"/>
        </w:rPr>
        <w:t xml:space="preserve">Ekstrand et al., 2021), </w:t>
      </w:r>
      <w:r w:rsidR="008C0D68">
        <w:rPr>
          <w:rFonts w:ascii="Times New Roman" w:hAnsi="Times New Roman" w:cs="Times New Roman"/>
          <w:sz w:val="24"/>
          <w:szCs w:val="24"/>
        </w:rPr>
        <w:t>around 1.9-3% in Wan et al</w:t>
      </w:r>
      <w:r w:rsidR="00285B2A">
        <w:rPr>
          <w:rFonts w:ascii="Times New Roman" w:hAnsi="Times New Roman" w:cs="Times New Roman"/>
          <w:sz w:val="24"/>
          <w:szCs w:val="24"/>
        </w:rPr>
        <w:t xml:space="preserve">.’s (2015) study and 8% in Thomas et al.’s </w:t>
      </w:r>
      <w:r w:rsidR="00C90A12">
        <w:rPr>
          <w:rFonts w:ascii="Times New Roman" w:hAnsi="Times New Roman" w:cs="Times New Roman"/>
          <w:sz w:val="24"/>
          <w:szCs w:val="24"/>
        </w:rPr>
        <w:t xml:space="preserve">(2018) study. </w:t>
      </w:r>
      <w:r w:rsidR="007F0087">
        <w:rPr>
          <w:rFonts w:ascii="Times New Roman" w:hAnsi="Times New Roman" w:cs="Times New Roman"/>
          <w:sz w:val="24"/>
          <w:szCs w:val="24"/>
        </w:rPr>
        <w:t xml:space="preserve">Although, this rate is lower than </w:t>
      </w:r>
      <w:r w:rsidR="00C23EC3">
        <w:rPr>
          <w:rFonts w:ascii="Times New Roman" w:hAnsi="Times New Roman" w:cs="Times New Roman"/>
          <w:sz w:val="24"/>
          <w:szCs w:val="24"/>
        </w:rPr>
        <w:t>standard psychotherapy treatment dropout rates of 17.5% (</w:t>
      </w:r>
      <w:r w:rsidR="000F4AC9">
        <w:rPr>
          <w:rFonts w:ascii="Times New Roman" w:hAnsi="Times New Roman" w:cs="Times New Roman"/>
          <w:sz w:val="24"/>
          <w:szCs w:val="24"/>
        </w:rPr>
        <w:t>Cooper &amp; Conklin, 2015)</w:t>
      </w:r>
      <w:commentRangeEnd w:id="1"/>
      <w:r w:rsidR="00B27AB8">
        <w:rPr>
          <w:rStyle w:val="Merknadsreferanse"/>
        </w:rPr>
        <w:commentReference w:id="1"/>
      </w:r>
    </w:p>
    <w:p w14:paraId="1D975533" w14:textId="77777777" w:rsidR="006F23DF" w:rsidRDefault="006F23DF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43F9D" w14:textId="1A9D3F6F" w:rsidR="00ED1B5B" w:rsidRDefault="004A4950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Norway, ketamine has been approved as a therapeutic agent for TR-D patients</w:t>
      </w:r>
      <w:r w:rsidR="00FE7EF5">
        <w:rPr>
          <w:rFonts w:ascii="Times New Roman" w:hAnsi="Times New Roman" w:cs="Times New Roman"/>
          <w:sz w:val="24"/>
          <w:szCs w:val="24"/>
        </w:rPr>
        <w:t>, but it is unclear why this compound works for</w:t>
      </w:r>
      <w:r w:rsidR="00873526">
        <w:rPr>
          <w:rFonts w:ascii="Times New Roman" w:hAnsi="Times New Roman" w:cs="Times New Roman"/>
          <w:sz w:val="24"/>
          <w:szCs w:val="24"/>
        </w:rPr>
        <w:t xml:space="preserve"> </w:t>
      </w:r>
      <w:r w:rsidR="00FE7EF5">
        <w:rPr>
          <w:rFonts w:ascii="Times New Roman" w:hAnsi="Times New Roman" w:cs="Times New Roman"/>
          <w:sz w:val="24"/>
          <w:szCs w:val="24"/>
        </w:rPr>
        <w:t xml:space="preserve">70% of the patients and not the rest. </w:t>
      </w:r>
      <w:r w:rsidR="00F048AF">
        <w:rPr>
          <w:rFonts w:ascii="Times New Roman" w:hAnsi="Times New Roman" w:cs="Times New Roman"/>
          <w:sz w:val="24"/>
          <w:szCs w:val="24"/>
        </w:rPr>
        <w:t>There is</w:t>
      </w:r>
      <w:r w:rsidR="002044D9">
        <w:rPr>
          <w:rFonts w:ascii="Times New Roman" w:hAnsi="Times New Roman" w:cs="Times New Roman"/>
          <w:sz w:val="24"/>
          <w:szCs w:val="24"/>
        </w:rPr>
        <w:t>,</w:t>
      </w:r>
      <w:r w:rsidR="00F048AF">
        <w:rPr>
          <w:rFonts w:ascii="Times New Roman" w:hAnsi="Times New Roman" w:cs="Times New Roman"/>
          <w:sz w:val="24"/>
          <w:szCs w:val="24"/>
        </w:rPr>
        <w:t xml:space="preserve"> therefore</w:t>
      </w:r>
      <w:r w:rsidR="002044D9">
        <w:rPr>
          <w:rFonts w:ascii="Times New Roman" w:hAnsi="Times New Roman" w:cs="Times New Roman"/>
          <w:sz w:val="24"/>
          <w:szCs w:val="24"/>
        </w:rPr>
        <w:t>,</w:t>
      </w:r>
      <w:r w:rsidR="00F048AF">
        <w:rPr>
          <w:rFonts w:ascii="Times New Roman" w:hAnsi="Times New Roman" w:cs="Times New Roman"/>
          <w:sz w:val="24"/>
          <w:szCs w:val="24"/>
        </w:rPr>
        <w:t xml:space="preserve"> a need for markers that indicate which patients should receive this treatment and which should not</w:t>
      </w:r>
      <w:r w:rsidR="00C50245">
        <w:rPr>
          <w:rFonts w:ascii="Times New Roman" w:hAnsi="Times New Roman" w:cs="Times New Roman"/>
          <w:sz w:val="24"/>
          <w:szCs w:val="24"/>
        </w:rPr>
        <w:t xml:space="preserve">. </w:t>
      </w:r>
      <w:r w:rsidR="0070797E">
        <w:rPr>
          <w:rFonts w:ascii="Times New Roman" w:hAnsi="Times New Roman" w:cs="Times New Roman"/>
          <w:sz w:val="24"/>
          <w:szCs w:val="24"/>
        </w:rPr>
        <w:t>Some speculate that ego dissolution</w:t>
      </w:r>
      <w:r w:rsidR="00816A33">
        <w:rPr>
          <w:rFonts w:ascii="Times New Roman" w:hAnsi="Times New Roman" w:cs="Times New Roman"/>
          <w:sz w:val="24"/>
          <w:szCs w:val="24"/>
        </w:rPr>
        <w:t xml:space="preserve"> can </w:t>
      </w:r>
      <w:r w:rsidR="00C50245">
        <w:rPr>
          <w:rFonts w:ascii="Times New Roman" w:hAnsi="Times New Roman" w:cs="Times New Roman"/>
          <w:sz w:val="24"/>
          <w:szCs w:val="24"/>
        </w:rPr>
        <w:t>improve symptom alleviation after treatment (</w:t>
      </w:r>
      <w:r w:rsidR="00E56C7A">
        <w:rPr>
          <w:rFonts w:ascii="Times New Roman" w:hAnsi="Times New Roman" w:cs="Times New Roman"/>
          <w:sz w:val="24"/>
          <w:szCs w:val="24"/>
        </w:rPr>
        <w:t xml:space="preserve">Bahji et al., 2021; </w:t>
      </w:r>
      <w:r w:rsidR="00E339CB">
        <w:rPr>
          <w:rFonts w:ascii="Times New Roman" w:hAnsi="Times New Roman" w:cs="Times New Roman"/>
          <w:sz w:val="24"/>
          <w:szCs w:val="24"/>
        </w:rPr>
        <w:t>Kaluzna et al., 2022</w:t>
      </w:r>
      <w:r w:rsidR="00C50245">
        <w:rPr>
          <w:rFonts w:ascii="Times New Roman" w:hAnsi="Times New Roman" w:cs="Times New Roman"/>
          <w:sz w:val="24"/>
          <w:szCs w:val="24"/>
        </w:rPr>
        <w:t>)</w:t>
      </w:r>
      <w:r w:rsidR="00816A33">
        <w:rPr>
          <w:rFonts w:ascii="Times New Roman" w:hAnsi="Times New Roman" w:cs="Times New Roman"/>
          <w:sz w:val="24"/>
          <w:szCs w:val="24"/>
        </w:rPr>
        <w:t xml:space="preserve">, but ego dissolution is often reported as “dissociation” in the </w:t>
      </w:r>
      <w:r w:rsidR="001915E7">
        <w:rPr>
          <w:rFonts w:ascii="Times New Roman" w:hAnsi="Times New Roman" w:cs="Times New Roman"/>
          <w:sz w:val="24"/>
          <w:szCs w:val="24"/>
        </w:rPr>
        <w:t>literature. Therefore, explicit research on ego dissolution is necessary</w:t>
      </w:r>
      <w:r w:rsidR="00C50245">
        <w:rPr>
          <w:rFonts w:ascii="Times New Roman" w:hAnsi="Times New Roman" w:cs="Times New Roman"/>
          <w:sz w:val="24"/>
          <w:szCs w:val="24"/>
        </w:rPr>
        <w:t xml:space="preserve">. </w:t>
      </w:r>
      <w:r w:rsidR="00D27276">
        <w:rPr>
          <w:rFonts w:ascii="Times New Roman" w:hAnsi="Times New Roman" w:cs="Times New Roman"/>
          <w:sz w:val="24"/>
          <w:szCs w:val="24"/>
        </w:rPr>
        <w:t xml:space="preserve">For this project, we will investigate the degree of ego dissolution experienced by </w:t>
      </w:r>
      <w:r w:rsidR="00C34AF7">
        <w:rPr>
          <w:rFonts w:ascii="Times New Roman" w:hAnsi="Times New Roman" w:cs="Times New Roman"/>
          <w:sz w:val="24"/>
          <w:szCs w:val="24"/>
        </w:rPr>
        <w:t>ketamine-treatment patients at Østfold Sykehus</w:t>
      </w:r>
      <w:r w:rsidR="001B53D3">
        <w:rPr>
          <w:rFonts w:ascii="Times New Roman" w:hAnsi="Times New Roman" w:cs="Times New Roman"/>
          <w:sz w:val="24"/>
          <w:szCs w:val="24"/>
        </w:rPr>
        <w:t xml:space="preserve">. </w:t>
      </w:r>
      <w:r w:rsidR="00034552">
        <w:rPr>
          <w:rFonts w:ascii="Times New Roman" w:hAnsi="Times New Roman" w:cs="Times New Roman"/>
          <w:sz w:val="24"/>
          <w:szCs w:val="24"/>
        </w:rPr>
        <w:t xml:space="preserve">We will also measure the </w:t>
      </w:r>
      <w:r w:rsidR="00721071">
        <w:rPr>
          <w:rFonts w:ascii="Times New Roman" w:hAnsi="Times New Roman" w:cs="Times New Roman"/>
          <w:sz w:val="24"/>
          <w:szCs w:val="24"/>
        </w:rPr>
        <w:t>patient’s brain activity</w:t>
      </w:r>
      <w:r w:rsidR="00EA2213">
        <w:rPr>
          <w:rFonts w:ascii="Times New Roman" w:hAnsi="Times New Roman" w:cs="Times New Roman"/>
          <w:sz w:val="24"/>
          <w:szCs w:val="24"/>
        </w:rPr>
        <w:t xml:space="preserve"> during treatment </w:t>
      </w:r>
      <w:r w:rsidR="00721071">
        <w:rPr>
          <w:rFonts w:ascii="Times New Roman" w:hAnsi="Times New Roman" w:cs="Times New Roman"/>
          <w:sz w:val="24"/>
          <w:szCs w:val="24"/>
        </w:rPr>
        <w:t>using</w:t>
      </w:r>
      <w:r w:rsidR="00EA2213">
        <w:rPr>
          <w:rFonts w:ascii="Times New Roman" w:hAnsi="Times New Roman" w:cs="Times New Roman"/>
          <w:sz w:val="24"/>
          <w:szCs w:val="24"/>
        </w:rPr>
        <w:t xml:space="preserve"> EEG to look for potential spectral frequency markers of ego dissolution. </w:t>
      </w:r>
    </w:p>
    <w:p w14:paraId="54CA517E" w14:textId="77777777" w:rsidR="00ED1B5B" w:rsidRDefault="00ED1B5B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53565F" w14:textId="10096DEA" w:rsidR="000E489C" w:rsidRDefault="000E2626" w:rsidP="00624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commentRangeStart w:id="3"/>
      <w:r>
        <w:rPr>
          <w:rFonts w:ascii="Times New Roman" w:hAnsi="Times New Roman" w:cs="Times New Roman"/>
          <w:sz w:val="24"/>
          <w:szCs w:val="24"/>
        </w:rPr>
        <w:t>D</w:t>
      </w:r>
      <w:commentRangeEnd w:id="2"/>
      <w:r w:rsidR="00364148">
        <w:rPr>
          <w:rStyle w:val="Merknadsreferans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epression is a </w:t>
      </w:r>
      <w:r w:rsidR="001E6794">
        <w:rPr>
          <w:rFonts w:ascii="Times New Roman" w:hAnsi="Times New Roman" w:cs="Times New Roman"/>
          <w:sz w:val="24"/>
          <w:szCs w:val="24"/>
        </w:rPr>
        <w:t>severe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E6794">
        <w:rPr>
          <w:rFonts w:ascii="Times New Roman" w:hAnsi="Times New Roman" w:cs="Times New Roman"/>
          <w:sz w:val="24"/>
          <w:szCs w:val="24"/>
        </w:rPr>
        <w:t xml:space="preserve">ental disorder </w:t>
      </w:r>
      <w:r w:rsidR="001E6794" w:rsidRPr="001E6794">
        <w:rPr>
          <w:rFonts w:ascii="Times New Roman" w:hAnsi="Times New Roman" w:cs="Times New Roman"/>
          <w:sz w:val="24"/>
          <w:szCs w:val="24"/>
        </w:rPr>
        <w:t>affecting around 5% of the</w:t>
      </w:r>
      <w:r w:rsidR="000E489C">
        <w:rPr>
          <w:rFonts w:ascii="Times New Roman" w:hAnsi="Times New Roman" w:cs="Times New Roman"/>
          <w:sz w:val="24"/>
          <w:szCs w:val="24"/>
        </w:rPr>
        <w:t xml:space="preserve"> adult </w:t>
      </w:r>
      <w:r w:rsidR="001E6794" w:rsidRPr="001E6794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1E6794">
        <w:rPr>
          <w:rFonts w:ascii="Times New Roman" w:hAnsi="Times New Roman" w:cs="Times New Roman"/>
          <w:sz w:val="24"/>
          <w:szCs w:val="24"/>
        </w:rPr>
        <w:t>(World Health Organization</w:t>
      </w:r>
      <w:r w:rsidR="001E6794" w:rsidRPr="001E6794">
        <w:rPr>
          <w:rFonts w:ascii="Times New Roman" w:hAnsi="Times New Roman" w:cs="Times New Roman"/>
          <w:sz w:val="24"/>
          <w:szCs w:val="24"/>
        </w:rPr>
        <w:t>, 2021</w:t>
      </w:r>
      <w:commentRangeEnd w:id="3"/>
      <w:r w:rsidR="00133824">
        <w:rPr>
          <w:rStyle w:val="Merknadsreferanse"/>
        </w:rPr>
        <w:commentReference w:id="3"/>
      </w:r>
      <w:r w:rsidR="001E6794" w:rsidRPr="001E6794">
        <w:rPr>
          <w:rFonts w:ascii="Times New Roman" w:hAnsi="Times New Roman" w:cs="Times New Roman"/>
          <w:sz w:val="24"/>
          <w:szCs w:val="24"/>
        </w:rPr>
        <w:t>)</w:t>
      </w:r>
      <w:r w:rsidR="00571FF1">
        <w:rPr>
          <w:rFonts w:ascii="Times New Roman" w:hAnsi="Times New Roman" w:cs="Times New Roman"/>
          <w:sz w:val="24"/>
          <w:szCs w:val="24"/>
        </w:rPr>
        <w:t>, and 20% to 25% of adults may experience an episode of major depression at some point during their lifetime (Bruce, 2020)</w:t>
      </w:r>
      <w:r w:rsidR="001E6794">
        <w:rPr>
          <w:rFonts w:ascii="Times New Roman" w:hAnsi="Times New Roman" w:cs="Times New Roman"/>
          <w:sz w:val="24"/>
          <w:szCs w:val="24"/>
        </w:rPr>
        <w:t xml:space="preserve">. </w:t>
      </w:r>
      <w:r w:rsidR="000E489C">
        <w:rPr>
          <w:rFonts w:ascii="Times New Roman" w:hAnsi="Times New Roman" w:cs="Times New Roman"/>
          <w:sz w:val="24"/>
          <w:szCs w:val="24"/>
        </w:rPr>
        <w:t>Those diagnosed</w:t>
      </w:r>
      <w:r w:rsidR="00571FF1">
        <w:rPr>
          <w:rFonts w:ascii="Times New Roman" w:hAnsi="Times New Roman" w:cs="Times New Roman"/>
          <w:sz w:val="24"/>
          <w:szCs w:val="24"/>
        </w:rPr>
        <w:t xml:space="preserve"> </w:t>
      </w:r>
      <w:r w:rsidR="000E489C">
        <w:rPr>
          <w:rFonts w:ascii="Times New Roman" w:hAnsi="Times New Roman" w:cs="Times New Roman"/>
          <w:sz w:val="24"/>
          <w:szCs w:val="24"/>
        </w:rPr>
        <w:t xml:space="preserve">with major depression are usually </w:t>
      </w:r>
      <w:r w:rsidR="000E489C">
        <w:rPr>
          <w:rFonts w:ascii="Times New Roman" w:hAnsi="Times New Roman" w:cs="Times New Roman"/>
          <w:sz w:val="24"/>
          <w:szCs w:val="24"/>
        </w:rPr>
        <w:lastRenderedPageBreak/>
        <w:t>treated with psychotherapy, medic</w:t>
      </w:r>
      <w:r w:rsidR="00571FF1">
        <w:rPr>
          <w:rFonts w:ascii="Times New Roman" w:hAnsi="Times New Roman" w:cs="Times New Roman"/>
          <w:sz w:val="24"/>
          <w:szCs w:val="24"/>
        </w:rPr>
        <w:t>ation, or both (</w:t>
      </w:r>
      <w:r w:rsidR="00571FF1" w:rsidRPr="001C0A14">
        <w:rPr>
          <w:rFonts w:ascii="Times New Roman" w:hAnsi="Times New Roman" w:cs="Times New Roman"/>
          <w:sz w:val="24"/>
          <w:szCs w:val="24"/>
          <w:highlight w:val="yellow"/>
        </w:rPr>
        <w:t>SOURCE</w:t>
      </w:r>
      <w:r w:rsidR="00571FF1">
        <w:rPr>
          <w:rFonts w:ascii="Times New Roman" w:hAnsi="Times New Roman" w:cs="Times New Roman"/>
          <w:sz w:val="24"/>
          <w:szCs w:val="24"/>
        </w:rPr>
        <w:t xml:space="preserve">). </w:t>
      </w:r>
      <w:r w:rsidR="005B50E4">
        <w:rPr>
          <w:rFonts w:ascii="Times New Roman" w:hAnsi="Times New Roman" w:cs="Times New Roman"/>
          <w:sz w:val="24"/>
          <w:szCs w:val="24"/>
        </w:rPr>
        <w:t xml:space="preserve">According to Howland (2015), any first-choice antidepressant medication significantly alleviates depression symptoms in 50% to 70% </w:t>
      </w:r>
      <w:r w:rsidR="001C0A14">
        <w:rPr>
          <w:rFonts w:ascii="Times New Roman" w:hAnsi="Times New Roman" w:cs="Times New Roman"/>
          <w:sz w:val="24"/>
          <w:szCs w:val="24"/>
        </w:rPr>
        <w:t>of MDD patients. However, only 50%</w:t>
      </w:r>
      <w:r w:rsidR="005B50E4">
        <w:rPr>
          <w:rFonts w:ascii="Times New Roman" w:hAnsi="Times New Roman" w:cs="Times New Roman"/>
          <w:sz w:val="24"/>
          <w:szCs w:val="24"/>
        </w:rPr>
        <w:t xml:space="preserve"> to</w:t>
      </w:r>
      <w:r w:rsidR="001C0A14">
        <w:rPr>
          <w:rFonts w:ascii="Times New Roman" w:hAnsi="Times New Roman" w:cs="Times New Roman"/>
          <w:sz w:val="24"/>
          <w:szCs w:val="24"/>
        </w:rPr>
        <w:t xml:space="preserve"> 33% </w:t>
      </w:r>
      <w:r w:rsidR="001C0A14" w:rsidRPr="001C0A14">
        <w:rPr>
          <w:rFonts w:ascii="Times New Roman" w:hAnsi="Times New Roman" w:cs="Times New Roman"/>
          <w:sz w:val="24"/>
          <w:szCs w:val="24"/>
        </w:rPr>
        <w:t>reach</w:t>
      </w:r>
      <w:r w:rsidR="001C0A14">
        <w:rPr>
          <w:rFonts w:ascii="Times New Roman" w:hAnsi="Times New Roman" w:cs="Times New Roman"/>
          <w:sz w:val="24"/>
          <w:szCs w:val="24"/>
        </w:rPr>
        <w:t xml:space="preserve"> complete remission, which leaves 65% to 83% with untreated or residual depression </w:t>
      </w:r>
      <w:r w:rsidR="00CA4F57">
        <w:rPr>
          <w:rFonts w:ascii="Times New Roman" w:hAnsi="Times New Roman" w:cs="Times New Roman"/>
          <w:sz w:val="24"/>
          <w:szCs w:val="24"/>
        </w:rPr>
        <w:t xml:space="preserve">symptoms (Howland, 2015). </w:t>
      </w:r>
      <w:r w:rsidR="001C0A14">
        <w:rPr>
          <w:rFonts w:ascii="Times New Roman" w:hAnsi="Times New Roman" w:cs="Times New Roman"/>
          <w:sz w:val="24"/>
          <w:szCs w:val="24"/>
        </w:rPr>
        <w:t xml:space="preserve">  </w:t>
      </w:r>
      <w:r w:rsidR="005B50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D05ED2" w14:textId="77777777" w:rsidR="006240F1" w:rsidRPr="005B50E4" w:rsidRDefault="006240F1" w:rsidP="00624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6256116" w14:textId="77777777" w:rsidR="000E2626" w:rsidRDefault="001E6794" w:rsidP="00624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  <w:r w:rsidR="00CA4F57">
        <w:rPr>
          <w:rFonts w:ascii="Times New Roman" w:hAnsi="Times New Roman" w:cs="Times New Roman"/>
          <w:sz w:val="24"/>
          <w:szCs w:val="24"/>
        </w:rPr>
        <w:t xml:space="preserve"> 30% of MDD</w:t>
      </w:r>
      <w:r>
        <w:rPr>
          <w:rFonts w:ascii="Times New Roman" w:hAnsi="Times New Roman" w:cs="Times New Roman"/>
          <w:sz w:val="24"/>
          <w:szCs w:val="24"/>
        </w:rPr>
        <w:t xml:space="preserve"> patients do not experience any alleviation from either antidepressant therapy, talking therapy</w:t>
      </w:r>
      <w:r w:rsidR="009D79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A4F57">
        <w:rPr>
          <w:rFonts w:ascii="Times New Roman" w:hAnsi="Times New Roman" w:cs="Times New Roman"/>
          <w:sz w:val="24"/>
          <w:szCs w:val="24"/>
        </w:rPr>
        <w:t>combinations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4F57">
        <w:rPr>
          <w:rFonts w:ascii="Times New Roman" w:hAnsi="Times New Roman" w:cs="Times New Roman"/>
          <w:sz w:val="24"/>
          <w:szCs w:val="24"/>
        </w:rPr>
        <w:t xml:space="preserve">Zhdanava et al., 2021; </w:t>
      </w:r>
      <w:r w:rsidR="009D79B1">
        <w:rPr>
          <w:rFonts w:ascii="Times New Roman" w:hAnsi="Times New Roman" w:cs="Times New Roman"/>
          <w:sz w:val="24"/>
          <w:szCs w:val="24"/>
        </w:rPr>
        <w:t xml:space="preserve">Little, 2009). This patient group </w:t>
      </w:r>
      <w:r w:rsidR="001C0A14">
        <w:rPr>
          <w:rFonts w:ascii="Times New Roman" w:hAnsi="Times New Roman" w:cs="Times New Roman"/>
          <w:sz w:val="24"/>
          <w:szCs w:val="24"/>
        </w:rPr>
        <w:t xml:space="preserve">is then diagnosed with </w:t>
      </w:r>
      <w:r w:rsidR="009D79B1">
        <w:rPr>
          <w:rFonts w:ascii="Times New Roman" w:hAnsi="Times New Roman" w:cs="Times New Roman"/>
          <w:sz w:val="24"/>
          <w:szCs w:val="24"/>
        </w:rPr>
        <w:t xml:space="preserve">treatment-resistant depression </w:t>
      </w:r>
      <w:r w:rsidR="001C0A14">
        <w:rPr>
          <w:rFonts w:ascii="Times New Roman" w:hAnsi="Times New Roman" w:cs="Times New Roman"/>
          <w:sz w:val="24"/>
          <w:szCs w:val="24"/>
        </w:rPr>
        <w:t>(TR-D)</w:t>
      </w:r>
      <w:r w:rsidR="009D79B1">
        <w:rPr>
          <w:rFonts w:ascii="Times New Roman" w:hAnsi="Times New Roman" w:cs="Times New Roman"/>
          <w:sz w:val="24"/>
          <w:szCs w:val="24"/>
        </w:rPr>
        <w:t xml:space="preserve">. </w:t>
      </w:r>
      <w:r w:rsidR="001B61CB">
        <w:rPr>
          <w:rFonts w:ascii="Times New Roman" w:hAnsi="Times New Roman" w:cs="Times New Roman"/>
          <w:sz w:val="24"/>
          <w:szCs w:val="24"/>
        </w:rPr>
        <w:t>The TR-D patient group is almost</w:t>
      </w:r>
      <w:r w:rsidR="000E489C">
        <w:rPr>
          <w:rFonts w:ascii="Times New Roman" w:hAnsi="Times New Roman" w:cs="Times New Roman"/>
          <w:sz w:val="24"/>
          <w:szCs w:val="24"/>
        </w:rPr>
        <w:t xml:space="preserve"> 30% more </w:t>
      </w:r>
      <w:r w:rsidR="001B61CB">
        <w:rPr>
          <w:rFonts w:ascii="Times New Roman" w:hAnsi="Times New Roman" w:cs="Times New Roman"/>
          <w:sz w:val="24"/>
          <w:szCs w:val="24"/>
        </w:rPr>
        <w:t xml:space="preserve">expensive </w:t>
      </w:r>
      <w:r w:rsidR="000E489C">
        <w:rPr>
          <w:rFonts w:ascii="Times New Roman" w:hAnsi="Times New Roman" w:cs="Times New Roman"/>
          <w:sz w:val="24"/>
          <w:szCs w:val="24"/>
        </w:rPr>
        <w:t>than</w:t>
      </w:r>
      <w:r w:rsidR="001B61CB">
        <w:rPr>
          <w:rFonts w:ascii="Times New Roman" w:hAnsi="Times New Roman" w:cs="Times New Roman"/>
          <w:sz w:val="24"/>
          <w:szCs w:val="24"/>
        </w:rPr>
        <w:t xml:space="preserve"> the MDD patients </w:t>
      </w:r>
      <w:r w:rsidR="000E489C">
        <w:rPr>
          <w:rFonts w:ascii="Times New Roman" w:hAnsi="Times New Roman" w:cs="Times New Roman"/>
          <w:sz w:val="24"/>
          <w:szCs w:val="24"/>
        </w:rPr>
        <w:t xml:space="preserve">to </w:t>
      </w:r>
      <w:r w:rsidR="001B61CB">
        <w:rPr>
          <w:rFonts w:ascii="Times New Roman" w:hAnsi="Times New Roman" w:cs="Times New Roman"/>
          <w:sz w:val="24"/>
          <w:szCs w:val="24"/>
        </w:rPr>
        <w:t xml:space="preserve">the local health care services (Olchanski et al., 2013), </w:t>
      </w:r>
      <w:r w:rsidR="000E489C">
        <w:rPr>
          <w:rFonts w:ascii="Times New Roman" w:hAnsi="Times New Roman" w:cs="Times New Roman"/>
          <w:sz w:val="24"/>
          <w:szCs w:val="24"/>
        </w:rPr>
        <w:t xml:space="preserve">making up a societal cost between $29-$48 billion a year in the US alone (Mrazek et al., 2014). </w:t>
      </w:r>
    </w:p>
    <w:p w14:paraId="130A7C76" w14:textId="77777777" w:rsidR="009D79B1" w:rsidRPr="001E6794" w:rsidRDefault="009D79B1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TR-D patient would either change medication or receive an added antidepressant to their prescription (Howland, </w:t>
      </w:r>
      <w:r w:rsidR="00845A7D">
        <w:rPr>
          <w:rFonts w:ascii="Times New Roman" w:hAnsi="Times New Roman" w:cs="Times New Roman"/>
          <w:sz w:val="24"/>
          <w:szCs w:val="24"/>
        </w:rPr>
        <w:t xml:space="preserve">2015). </w:t>
      </w:r>
    </w:p>
    <w:p w14:paraId="14556AE6" w14:textId="77777777" w:rsidR="000E2626" w:rsidRDefault="000E2626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2BD97" w14:textId="77777777" w:rsidR="000E2626" w:rsidRPr="00845A7D" w:rsidRDefault="000E2626" w:rsidP="000E26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5A7D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A602100" w14:textId="77777777" w:rsidR="00571FF1" w:rsidRPr="00571FF1" w:rsidRDefault="00571FF1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Bruce, D. F. (2020, September 13). </w:t>
      </w:r>
      <w:r w:rsidRPr="00571F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Major Depression (Clinical Depression)</w:t>
      </w:r>
      <w:r w:rsidRPr="00571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WebMD. </w:t>
      </w:r>
      <w:r w:rsidRPr="00571FF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https://www.webmd.com/depression/guide/major-depression</w:t>
      </w:r>
    </w:p>
    <w:p w14:paraId="74DEB9FD" w14:textId="6DF67C9D" w:rsidR="00845A7D" w:rsidRPr="00845A7D" w:rsidRDefault="00845A7D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Howland, R. H. (2015). Therapeutic Armamentarium for Treating Depression. </w:t>
      </w:r>
      <w:r w:rsidRPr="00845A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Postgraduate Medicine, 122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45A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>), 66</w:t>
      </w:r>
      <w:r w:rsidR="00ED1B5B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93. </w:t>
      </w:r>
      <w:hyperlink r:id="rId9" w:history="1">
        <w:r w:rsidRPr="00845A7D">
          <w:rPr>
            <w:rStyle w:val="Hyperkobling"/>
            <w:rFonts w:ascii="Times New Roman" w:hAnsi="Times New Roman" w:cs="Times New Roman"/>
            <w:color w:val="000000" w:themeColor="text1"/>
            <w:sz w:val="24"/>
            <w:szCs w:val="24"/>
          </w:rPr>
          <w:t>https://doi.org/10.3810/pgm.2010.07.2176</w:t>
        </w:r>
      </w:hyperlink>
    </w:p>
    <w:p w14:paraId="1F921992" w14:textId="77777777" w:rsidR="009D79B1" w:rsidRPr="009D79B1" w:rsidRDefault="009D79B1" w:rsidP="001B61CB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</w:rPr>
      </w:pPr>
      <w:r w:rsidRPr="00845A7D">
        <w:rPr>
          <w:color w:val="000000" w:themeColor="text1"/>
        </w:rPr>
        <w:t>Little</w:t>
      </w:r>
      <w:r>
        <w:rPr>
          <w:color w:val="000000"/>
        </w:rPr>
        <w:t>, A. (2009). Treatment-Resistant Depression. </w:t>
      </w:r>
      <w:r>
        <w:rPr>
          <w:i/>
          <w:iCs/>
          <w:color w:val="000000"/>
        </w:rPr>
        <w:t>American Family Physician</w:t>
      </w:r>
      <w:r>
        <w:rPr>
          <w:color w:val="000000"/>
        </w:rPr>
        <w:t>, </w:t>
      </w:r>
      <w:r>
        <w:rPr>
          <w:i/>
          <w:iCs/>
          <w:color w:val="000000"/>
        </w:rPr>
        <w:t>80</w:t>
      </w:r>
      <w:r>
        <w:rPr>
          <w:color w:val="000000"/>
        </w:rPr>
        <w:t xml:space="preserve">(2), 167–172. </w:t>
      </w:r>
      <w:r w:rsidRPr="00845A7D">
        <w:rPr>
          <w:color w:val="000000"/>
          <w:u w:val="single"/>
        </w:rPr>
        <w:t>https://www.aafp.org/pubs/afp/issues/2009/0715/p167.html</w:t>
      </w:r>
    </w:p>
    <w:p w14:paraId="42EBB6DA" w14:textId="74AE40B5" w:rsidR="001B61CB" w:rsidRPr="001B61CB" w:rsidRDefault="001B61CB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61CB">
        <w:rPr>
          <w:rFonts w:ascii="Times New Roman" w:hAnsi="Times New Roman" w:cs="Times New Roman"/>
          <w:sz w:val="24"/>
          <w:szCs w:val="24"/>
        </w:rPr>
        <w:t xml:space="preserve">Olchanski, N., McInnis Myers, M., Halseth, M., Cyr, P. L., Bockstedt, L., Goss, T. F., &amp; Howland, R. H. (2013). The Economic Burden of Treatment-Resistant Depression. </w:t>
      </w:r>
      <w:r w:rsidRPr="001B61CB">
        <w:rPr>
          <w:rFonts w:ascii="Times New Roman" w:hAnsi="Times New Roman" w:cs="Times New Roman"/>
          <w:i/>
          <w:iCs/>
          <w:sz w:val="24"/>
          <w:szCs w:val="24"/>
        </w:rPr>
        <w:t>Clinical Therapeutics</w:t>
      </w:r>
      <w:r w:rsidRPr="001B61CB">
        <w:rPr>
          <w:rFonts w:ascii="Times New Roman" w:hAnsi="Times New Roman" w:cs="Times New Roman"/>
          <w:sz w:val="24"/>
          <w:szCs w:val="24"/>
        </w:rPr>
        <w:t xml:space="preserve">, </w:t>
      </w:r>
      <w:r w:rsidRPr="001B61CB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1B61CB">
        <w:rPr>
          <w:rFonts w:ascii="Times New Roman" w:hAnsi="Times New Roman" w:cs="Times New Roman"/>
          <w:sz w:val="24"/>
          <w:szCs w:val="24"/>
        </w:rPr>
        <w:t>(4), 512</w:t>
      </w:r>
      <w:r w:rsidR="00ED1B5B">
        <w:rPr>
          <w:rFonts w:ascii="Times New Roman" w:hAnsi="Times New Roman" w:cs="Times New Roman"/>
          <w:sz w:val="24"/>
          <w:szCs w:val="24"/>
        </w:rPr>
        <w:t>–</w:t>
      </w:r>
      <w:r w:rsidRPr="001B61CB">
        <w:rPr>
          <w:rFonts w:ascii="Times New Roman" w:hAnsi="Times New Roman" w:cs="Times New Roman"/>
          <w:sz w:val="24"/>
          <w:szCs w:val="24"/>
        </w:rPr>
        <w:t xml:space="preserve">522. </w:t>
      </w:r>
      <w:r w:rsidRPr="001B61CB">
        <w:rPr>
          <w:rFonts w:ascii="Times New Roman" w:hAnsi="Times New Roman" w:cs="Times New Roman"/>
          <w:sz w:val="24"/>
          <w:szCs w:val="24"/>
          <w:u w:val="single"/>
        </w:rPr>
        <w:t>https://doi.org/10.1016/j.clinthera.2012.09.001</w:t>
      </w:r>
    </w:p>
    <w:p w14:paraId="67D2A79A" w14:textId="77777777" w:rsidR="000E2626" w:rsidRDefault="000E2626" w:rsidP="00CA4F57">
      <w:pPr>
        <w:pStyle w:val="NormalWeb"/>
        <w:spacing w:before="0" w:beforeAutospacing="0" w:after="0" w:afterAutospacing="0" w:line="360" w:lineRule="auto"/>
        <w:ind w:left="720" w:hanging="720"/>
        <w:rPr>
          <w:u w:val="single"/>
        </w:rPr>
      </w:pPr>
      <w:r>
        <w:t>World</w:t>
      </w:r>
      <w:r w:rsidR="001E6794">
        <w:t xml:space="preserve"> Health Organization</w:t>
      </w:r>
      <w:r>
        <w:t xml:space="preserve">. (2021, September 13). </w:t>
      </w:r>
      <w:r>
        <w:rPr>
          <w:i/>
          <w:iCs/>
        </w:rPr>
        <w:t>Depression</w:t>
      </w:r>
      <w:r w:rsidR="001E6794">
        <w:t>. World Health Organization.</w:t>
      </w:r>
      <w:r>
        <w:t xml:space="preserve"> </w:t>
      </w:r>
      <w:r w:rsidRPr="00845A7D">
        <w:rPr>
          <w:u w:val="single"/>
        </w:rPr>
        <w:t>https://www.who.int/news-room/fact-sheets/detail/depression</w:t>
      </w:r>
    </w:p>
    <w:p w14:paraId="1774BA0E" w14:textId="77777777" w:rsidR="00CA4F57" w:rsidRDefault="00CA4F57" w:rsidP="00CA4F57">
      <w:pPr>
        <w:pStyle w:val="NormalWeb"/>
        <w:spacing w:before="0" w:beforeAutospacing="0" w:after="0" w:afterAutospacing="0" w:line="360" w:lineRule="auto"/>
        <w:ind w:left="720" w:hanging="720"/>
      </w:pPr>
    </w:p>
    <w:p w14:paraId="74126F45" w14:textId="77777777" w:rsidR="00CA4F57" w:rsidRPr="00C82306" w:rsidRDefault="00CA4F57" w:rsidP="00CA4F57">
      <w:pPr>
        <w:pStyle w:val="NormalWeb"/>
        <w:spacing w:before="0" w:beforeAutospacing="0" w:after="0" w:afterAutospacing="0" w:line="360" w:lineRule="auto"/>
        <w:ind w:left="720" w:hanging="720"/>
        <w:rPr>
          <w:lang w:val="nb-NO"/>
        </w:rPr>
      </w:pPr>
      <w:r w:rsidRPr="00CA4F57">
        <w:lastRenderedPageBreak/>
        <w:t xml:space="preserve">Zhdanava, M., Pilon, D., Ghelerter, I., Chow, W., Joshi, K., Lefebvre, P., &amp; Sheehan, J. J. (2021). The Prevalence and National Burde of Treatment-Resistant Depression and Major Depressive Disorder in the United States. </w:t>
      </w:r>
      <w:r w:rsidRPr="00C82306">
        <w:rPr>
          <w:i/>
          <w:lang w:val="nb-NO"/>
        </w:rPr>
        <w:t>The Journal of Clinical Psychiatry, 82</w:t>
      </w:r>
      <w:r w:rsidRPr="00C82306">
        <w:rPr>
          <w:lang w:val="nb-NO"/>
        </w:rPr>
        <w:t xml:space="preserve">(2), </w:t>
      </w:r>
      <w:r w:rsidRPr="00C82306">
        <w:rPr>
          <w:color w:val="202020"/>
          <w:u w:val="single"/>
          <w:shd w:val="clear" w:color="auto" w:fill="FFFFFF"/>
          <w:lang w:val="nb-NO"/>
        </w:rPr>
        <w:t>https://doi.org/10.4088/JCP.20m13699</w:t>
      </w:r>
    </w:p>
    <w:p w14:paraId="6470B7E1" w14:textId="77777777" w:rsidR="008270B9" w:rsidRDefault="008270B9" w:rsidP="008270B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nb-NO"/>
        </w:rPr>
      </w:pPr>
    </w:p>
    <w:p w14:paraId="02438F26" w14:textId="6CA72CDB" w:rsidR="000E2626" w:rsidRDefault="008270B9" w:rsidP="008270B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Melkerud, A-G.</w:t>
      </w:r>
      <w:r w:rsidR="00C82306" w:rsidRPr="0094639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>(</w:t>
      </w:r>
      <w:r w:rsidR="00C82306" w:rsidRPr="0094639E">
        <w:rPr>
          <w:rFonts w:ascii="Times New Roman" w:hAnsi="Times New Roman" w:cs="Times New Roman"/>
          <w:sz w:val="24"/>
          <w:szCs w:val="24"/>
          <w:lang w:val="nb-NO"/>
        </w:rPr>
        <w:t>n.d.</w:t>
      </w:r>
      <w:r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C82306" w:rsidRPr="0094639E">
        <w:rPr>
          <w:rFonts w:ascii="Times New Roman" w:hAnsi="Times New Roman" w:cs="Times New Roman"/>
          <w:sz w:val="24"/>
          <w:szCs w:val="24"/>
          <w:lang w:val="nb-NO"/>
        </w:rPr>
        <w:t xml:space="preserve"> Sykehuset Østfold. </w:t>
      </w:r>
      <w:r w:rsidR="00C82306" w:rsidRPr="0094639E">
        <w:rPr>
          <w:rFonts w:ascii="Times New Roman" w:hAnsi="Times New Roman" w:cs="Times New Roman"/>
          <w:sz w:val="24"/>
          <w:szCs w:val="24"/>
        </w:rPr>
        <w:t>Accessed October 13, 2022. https://sykehuset-ostfold.no/nyheter/ny-behandlingsmetode-mot-depresjon.</w:t>
      </w:r>
    </w:p>
    <w:p w14:paraId="6E11C744" w14:textId="047FB367" w:rsidR="000668EB" w:rsidRPr="0009278C" w:rsidRDefault="000668EB" w:rsidP="008270B9">
      <w:pPr>
        <w:spacing w:line="360" w:lineRule="auto"/>
        <w:ind w:left="720" w:hanging="720"/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  <w:lang w:val="nb-NO"/>
        </w:rPr>
      </w:pPr>
      <w:r w:rsidRPr="000668EB">
        <w:rPr>
          <w:rFonts w:ascii="Times New Roman" w:hAnsi="Times New Roman" w:cs="Times New Roman"/>
          <w:sz w:val="24"/>
          <w:szCs w:val="24"/>
        </w:rPr>
        <w:t>Serafini, G</w:t>
      </w:r>
      <w:r w:rsidR="0081460F">
        <w:rPr>
          <w:rFonts w:ascii="Times New Roman" w:hAnsi="Times New Roman" w:cs="Times New Roman"/>
          <w:sz w:val="24"/>
          <w:szCs w:val="24"/>
        </w:rPr>
        <w:t>.</w:t>
      </w:r>
      <w:r w:rsidRPr="000668EB">
        <w:rPr>
          <w:rFonts w:ascii="Times New Roman" w:hAnsi="Times New Roman" w:cs="Times New Roman"/>
          <w:sz w:val="24"/>
          <w:szCs w:val="24"/>
        </w:rPr>
        <w:t>, Howland</w:t>
      </w:r>
      <w:r w:rsidR="0081460F">
        <w:rPr>
          <w:rFonts w:ascii="Times New Roman" w:hAnsi="Times New Roman" w:cs="Times New Roman"/>
          <w:sz w:val="24"/>
          <w:szCs w:val="24"/>
        </w:rPr>
        <w:t xml:space="preserve">, </w:t>
      </w:r>
      <w:r w:rsidR="0029042F">
        <w:rPr>
          <w:rFonts w:ascii="Times New Roman" w:hAnsi="Times New Roman" w:cs="Times New Roman"/>
          <w:sz w:val="24"/>
          <w:szCs w:val="24"/>
        </w:rPr>
        <w:t>R. H.</w:t>
      </w:r>
      <w:r w:rsidRPr="000668EB">
        <w:rPr>
          <w:rFonts w:ascii="Times New Roman" w:hAnsi="Times New Roman" w:cs="Times New Roman"/>
          <w:sz w:val="24"/>
          <w:szCs w:val="24"/>
        </w:rPr>
        <w:t>, Rovedi</w:t>
      </w:r>
      <w:r w:rsidR="0029042F">
        <w:rPr>
          <w:rFonts w:ascii="Times New Roman" w:hAnsi="Times New Roman" w:cs="Times New Roman"/>
          <w:sz w:val="24"/>
          <w:szCs w:val="24"/>
        </w:rPr>
        <w:t>, F.</w:t>
      </w:r>
      <w:r w:rsidRPr="000668EB">
        <w:rPr>
          <w:rFonts w:ascii="Times New Roman" w:hAnsi="Times New Roman" w:cs="Times New Roman"/>
          <w:sz w:val="24"/>
          <w:szCs w:val="24"/>
        </w:rPr>
        <w:t>, Girardi</w:t>
      </w:r>
      <w:r w:rsidR="0029042F">
        <w:rPr>
          <w:rFonts w:ascii="Times New Roman" w:hAnsi="Times New Roman" w:cs="Times New Roman"/>
          <w:sz w:val="24"/>
          <w:szCs w:val="24"/>
        </w:rPr>
        <w:t>, P.</w:t>
      </w:r>
      <w:r w:rsidRPr="000668EB">
        <w:rPr>
          <w:rFonts w:ascii="Times New Roman" w:hAnsi="Times New Roman" w:cs="Times New Roman"/>
          <w:sz w:val="24"/>
          <w:szCs w:val="24"/>
        </w:rPr>
        <w:t xml:space="preserve">, </w:t>
      </w:r>
      <w:r w:rsidR="00570176">
        <w:rPr>
          <w:rFonts w:ascii="Times New Roman" w:hAnsi="Times New Roman" w:cs="Times New Roman"/>
          <w:sz w:val="24"/>
          <w:szCs w:val="24"/>
        </w:rPr>
        <w:t>&amp;</w:t>
      </w:r>
      <w:r w:rsidRPr="000668EB">
        <w:rPr>
          <w:rFonts w:ascii="Times New Roman" w:hAnsi="Times New Roman" w:cs="Times New Roman"/>
          <w:sz w:val="24"/>
          <w:szCs w:val="24"/>
        </w:rPr>
        <w:t xml:space="preserve"> Amore</w:t>
      </w:r>
      <w:r w:rsidR="0029042F">
        <w:rPr>
          <w:rFonts w:ascii="Times New Roman" w:hAnsi="Times New Roman" w:cs="Times New Roman"/>
          <w:sz w:val="24"/>
          <w:szCs w:val="24"/>
        </w:rPr>
        <w:t>, M</w:t>
      </w:r>
      <w:r w:rsidRPr="000668EB">
        <w:rPr>
          <w:rFonts w:ascii="Times New Roman" w:hAnsi="Times New Roman" w:cs="Times New Roman"/>
          <w:sz w:val="24"/>
          <w:szCs w:val="24"/>
        </w:rPr>
        <w:t xml:space="preserve">. </w:t>
      </w:r>
      <w:r w:rsidR="00570176">
        <w:rPr>
          <w:rFonts w:ascii="Times New Roman" w:hAnsi="Times New Roman" w:cs="Times New Roman"/>
          <w:sz w:val="24"/>
          <w:szCs w:val="24"/>
        </w:rPr>
        <w:t>(</w:t>
      </w:r>
      <w:r w:rsidRPr="000668EB">
        <w:rPr>
          <w:rFonts w:ascii="Times New Roman" w:hAnsi="Times New Roman" w:cs="Times New Roman"/>
          <w:sz w:val="24"/>
          <w:szCs w:val="24"/>
        </w:rPr>
        <w:t>2014</w:t>
      </w:r>
      <w:r w:rsidR="00570176">
        <w:rPr>
          <w:rFonts w:ascii="Times New Roman" w:hAnsi="Times New Roman" w:cs="Times New Roman"/>
          <w:sz w:val="24"/>
          <w:szCs w:val="24"/>
        </w:rPr>
        <w:t>)</w:t>
      </w:r>
      <w:r w:rsidRPr="000668EB">
        <w:rPr>
          <w:rFonts w:ascii="Times New Roman" w:hAnsi="Times New Roman" w:cs="Times New Roman"/>
          <w:sz w:val="24"/>
          <w:szCs w:val="24"/>
        </w:rPr>
        <w:t xml:space="preserve">. The Role of Ketamine in Treatment-Resistant Depression: A Systematic Review. </w:t>
      </w:r>
      <w:r w:rsidRPr="0009278C">
        <w:rPr>
          <w:rFonts w:ascii="Times New Roman" w:hAnsi="Times New Roman" w:cs="Times New Roman"/>
          <w:i/>
          <w:iCs/>
          <w:sz w:val="24"/>
          <w:szCs w:val="24"/>
          <w:lang w:val="nb-NO"/>
        </w:rPr>
        <w:t>Current Neuropharmacology</w:t>
      </w:r>
      <w:r w:rsidRPr="0009278C">
        <w:rPr>
          <w:rFonts w:ascii="Times New Roman" w:hAnsi="Times New Roman" w:cs="Times New Roman"/>
          <w:sz w:val="24"/>
          <w:szCs w:val="24"/>
          <w:lang w:val="nb-NO"/>
        </w:rPr>
        <w:t xml:space="preserve"> 12 (5): 444–61.</w:t>
      </w:r>
      <w:r w:rsidR="00000ACA" w:rsidRPr="0009278C">
        <w:rPr>
          <w:rFonts w:ascii="Roboto" w:hAnsi="Roboto"/>
          <w:color w:val="212121"/>
          <w:sz w:val="26"/>
          <w:szCs w:val="26"/>
          <w:shd w:val="clear" w:color="auto" w:fill="FFFFFF"/>
          <w:lang w:val="nb-NO"/>
        </w:rPr>
        <w:t xml:space="preserve"> </w:t>
      </w:r>
      <w:r w:rsidR="00000ACA" w:rsidRPr="0009278C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  <w:lang w:val="nb-NO"/>
        </w:rPr>
        <w:t>https://doi.org/10.2174/1570159X12666140619204251</w:t>
      </w:r>
    </w:p>
    <w:p w14:paraId="49E66DA8" w14:textId="71833CE9" w:rsidR="007603F9" w:rsidRDefault="0009278C" w:rsidP="007603F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8E6424">
        <w:rPr>
          <w:rFonts w:ascii="Times New Roman" w:hAnsi="Times New Roman" w:cs="Times New Roman"/>
          <w:sz w:val="24"/>
          <w:szCs w:val="24"/>
          <w:lang w:val="nb-NO"/>
        </w:rPr>
        <w:t xml:space="preserve">Ekstrand, J., Fattah, C., Persson, M., Cheng, T., Nordanskog, P., Åkeson, J., Tingström, A., Lindström, M. B., Nordenskjöld, A., &amp; Movahed Rad, P. (2021). </w:t>
      </w:r>
      <w:r w:rsidRPr="008E6424">
        <w:rPr>
          <w:rFonts w:ascii="Times New Roman" w:hAnsi="Times New Roman" w:cs="Times New Roman"/>
          <w:sz w:val="24"/>
          <w:szCs w:val="24"/>
        </w:rPr>
        <w:t xml:space="preserve">Racemic Ketamine as an Alternative to Electroconvulsive Therapy for Unipolar Depression: A Randomized, Open-Label, Non-Inferiority Trial (KetECT). </w:t>
      </w:r>
      <w:r w:rsidRPr="008E6424">
        <w:rPr>
          <w:rFonts w:ascii="Times New Roman" w:hAnsi="Times New Roman" w:cs="Times New Roman"/>
          <w:i/>
          <w:iCs/>
          <w:sz w:val="24"/>
          <w:szCs w:val="24"/>
        </w:rPr>
        <w:t>The International Journal of Neuropsychopharmacology</w:t>
      </w:r>
      <w:r w:rsidRPr="008E6424">
        <w:rPr>
          <w:rFonts w:ascii="Times New Roman" w:hAnsi="Times New Roman" w:cs="Times New Roman"/>
          <w:sz w:val="24"/>
          <w:szCs w:val="24"/>
        </w:rPr>
        <w:t xml:space="preserve">, </w:t>
      </w:r>
      <w:r w:rsidRPr="008E6424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8E6424">
        <w:rPr>
          <w:rFonts w:ascii="Times New Roman" w:hAnsi="Times New Roman" w:cs="Times New Roman"/>
          <w:sz w:val="24"/>
          <w:szCs w:val="24"/>
        </w:rPr>
        <w:t>(5), 339–349.</w:t>
      </w:r>
      <w:r w:rsidR="00DF387E" w:rsidRPr="008E6424">
        <w:rPr>
          <w:rFonts w:ascii="Times New Roman" w:hAnsi="Times New Roman" w:cs="Times New Roman"/>
          <w:sz w:val="24"/>
          <w:szCs w:val="24"/>
        </w:rPr>
        <w:t xml:space="preserve"> </w:t>
      </w:r>
      <w:r w:rsidR="008E6424" w:rsidRPr="008E642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 </w:t>
      </w:r>
      <w:hyperlink r:id="rId10" w:history="1">
        <w:r w:rsidR="008E6424" w:rsidRPr="007603F9">
          <w:rPr>
            <w:rStyle w:val="Hyperkobling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https://doi.org/10.1093/ijnp/pyab088</w:t>
        </w:r>
      </w:hyperlink>
    </w:p>
    <w:p w14:paraId="46303E27" w14:textId="47F622E2" w:rsidR="002471DD" w:rsidRPr="002471DD" w:rsidRDefault="002471DD" w:rsidP="008270B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71DD">
        <w:rPr>
          <w:rFonts w:ascii="Times New Roman" w:hAnsi="Times New Roman" w:cs="Times New Roman"/>
          <w:sz w:val="24"/>
          <w:szCs w:val="24"/>
        </w:rPr>
        <w:t xml:space="preserve">Cooper, A. A., &amp; Conklin, L. R. (2015). Dropout from individual psychotherapy for major depression: A meta-analysis of randomized clinical trials. </w:t>
      </w:r>
      <w:r w:rsidRPr="002471DD">
        <w:rPr>
          <w:rFonts w:ascii="Times New Roman" w:hAnsi="Times New Roman" w:cs="Times New Roman"/>
          <w:i/>
          <w:iCs/>
          <w:sz w:val="24"/>
          <w:szCs w:val="24"/>
        </w:rPr>
        <w:t>Clinical Psychology Review</w:t>
      </w:r>
      <w:r w:rsidRPr="002471DD">
        <w:rPr>
          <w:rFonts w:ascii="Times New Roman" w:hAnsi="Times New Roman" w:cs="Times New Roman"/>
          <w:sz w:val="24"/>
          <w:szCs w:val="24"/>
        </w:rPr>
        <w:t xml:space="preserve">, </w:t>
      </w:r>
      <w:r w:rsidRPr="002471DD">
        <w:rPr>
          <w:rFonts w:ascii="Times New Roman" w:hAnsi="Times New Roman" w:cs="Times New Roman"/>
          <w:i/>
          <w:iCs/>
          <w:sz w:val="24"/>
          <w:szCs w:val="24"/>
        </w:rPr>
        <w:t>40</w:t>
      </w:r>
      <w:r w:rsidRPr="002471DD">
        <w:rPr>
          <w:rFonts w:ascii="Times New Roman" w:hAnsi="Times New Roman" w:cs="Times New Roman"/>
          <w:sz w:val="24"/>
          <w:szCs w:val="24"/>
        </w:rPr>
        <w:t>, 57–65.</w:t>
      </w:r>
      <w:r w:rsidR="006E7D5B">
        <w:rPr>
          <w:rFonts w:ascii="Times New Roman" w:hAnsi="Times New Roman" w:cs="Times New Roman"/>
          <w:sz w:val="24"/>
          <w:szCs w:val="24"/>
        </w:rPr>
        <w:t xml:space="preserve"> </w:t>
      </w:r>
      <w:r w:rsidR="006E7D5B" w:rsidRPr="007603F9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  <w:t>https://doi.org/10.1016/j.cpr.2015.05.001</w:t>
      </w:r>
    </w:p>
    <w:sectPr w:rsidR="002471DD" w:rsidRPr="002471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as massey" w:date="2022-10-13T12:39:00Z" w:initials="am">
    <w:p w14:paraId="0FA1CD60" w14:textId="77777777" w:rsidR="000F4AC9" w:rsidRDefault="000F4AC9" w:rsidP="00E755FD">
      <w:pPr>
        <w:pStyle w:val="Merknadstekst"/>
      </w:pPr>
      <w:r>
        <w:rPr>
          <w:rStyle w:val="Merknadsreferanse"/>
        </w:rPr>
        <w:annotationRef/>
      </w:r>
      <w:r>
        <w:t>Add specific page and add the book to the list of references.</w:t>
      </w:r>
    </w:p>
  </w:comment>
  <w:comment w:id="1" w:author="andreas massey" w:date="2022-10-13T12:41:00Z" w:initials="am">
    <w:p w14:paraId="0D589869" w14:textId="77777777" w:rsidR="00B27AB8" w:rsidRDefault="00B27AB8" w:rsidP="00EE2136">
      <w:pPr>
        <w:pStyle w:val="Merknadstekst"/>
      </w:pPr>
      <w:r>
        <w:rPr>
          <w:rStyle w:val="Merknadsreferanse"/>
        </w:rPr>
        <w:annotationRef/>
      </w:r>
      <w:r>
        <w:t>Considering to skip or have to rewrite. It is not clear how this applies to our current study.</w:t>
      </w:r>
    </w:p>
  </w:comment>
  <w:comment w:id="2" w:author="Andreas Lie Massey" w:date="2022-09-20T15:30:00Z" w:initials="ALM">
    <w:p w14:paraId="3C4B79EC" w14:textId="083D7C4E" w:rsidR="00364148" w:rsidRDefault="00364148">
      <w:pPr>
        <w:pStyle w:val="Merknadstekst"/>
      </w:pPr>
      <w:r>
        <w:rPr>
          <w:rStyle w:val="Merknadsreferanse"/>
        </w:rPr>
        <w:annotationRef/>
      </w:r>
      <w:r>
        <w:t>The first paragraph should be why this project is happening. What has sparked this?</w:t>
      </w:r>
    </w:p>
  </w:comment>
  <w:comment w:id="3" w:author="Andreas Lie Massey" w:date="2022-09-20T15:13:00Z" w:initials="ALM">
    <w:p w14:paraId="12BD71D4" w14:textId="77777777" w:rsidR="00133824" w:rsidRDefault="00133824">
      <w:pPr>
        <w:pStyle w:val="Merknadstekst"/>
      </w:pPr>
      <w:r>
        <w:rPr>
          <w:rStyle w:val="Merknadsreferanse"/>
        </w:rPr>
        <w:annotationRef/>
      </w:r>
      <w:r>
        <w:t xml:space="preserve">This number differs considerably by sources. See for instance … Zhdanava et al. (2021). Maybe add this as a footnote?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A1CD60" w15:done="0"/>
  <w15:commentEx w15:paraId="0D589869" w15:done="0"/>
  <w15:commentEx w15:paraId="3C4B79EC" w15:done="0"/>
  <w15:commentEx w15:paraId="12BD71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859E" w16cex:dateUtc="2022-10-13T10:39:00Z"/>
  <w16cex:commentExtensible w16cex:durableId="26F28608" w16cex:dateUtc="2022-10-13T1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A1CD60" w16cid:durableId="26F2859E"/>
  <w16cid:commentId w16cid:paraId="0D589869" w16cid:durableId="26F28608"/>
  <w16cid:commentId w16cid:paraId="3C4B79EC" w16cid:durableId="26F27527"/>
  <w16cid:commentId w16cid:paraId="12BD71D4" w16cid:durableId="26F275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77F"/>
    <w:multiLevelType w:val="multilevel"/>
    <w:tmpl w:val="C42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04164"/>
    <w:multiLevelType w:val="hybridMultilevel"/>
    <w:tmpl w:val="829CFD48"/>
    <w:lvl w:ilvl="0" w:tplc="A2A8A9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0A1"/>
    <w:multiLevelType w:val="hybridMultilevel"/>
    <w:tmpl w:val="0A3C0BA6"/>
    <w:lvl w:ilvl="0" w:tplc="48D4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788383">
    <w:abstractNumId w:val="2"/>
  </w:num>
  <w:num w:numId="2" w16cid:durableId="588389571">
    <w:abstractNumId w:val="1"/>
  </w:num>
  <w:num w:numId="3" w16cid:durableId="15713038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massey">
    <w15:presenceInfo w15:providerId="Windows Live" w15:userId="e005b3f8b47b9365"/>
  </w15:person>
  <w15:person w15:author="Andreas Lie Massey">
    <w15:presenceInfo w15:providerId="Windows Live" w15:userId="e005b3f8b47b9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80"/>
    <w:rsid w:val="00000ACA"/>
    <w:rsid w:val="000241D1"/>
    <w:rsid w:val="00025E16"/>
    <w:rsid w:val="00034552"/>
    <w:rsid w:val="000668EB"/>
    <w:rsid w:val="0009278C"/>
    <w:rsid w:val="000E2626"/>
    <w:rsid w:val="000E489C"/>
    <w:rsid w:val="000F4AC9"/>
    <w:rsid w:val="00133824"/>
    <w:rsid w:val="00175961"/>
    <w:rsid w:val="001915E7"/>
    <w:rsid w:val="001A15A0"/>
    <w:rsid w:val="001A4B54"/>
    <w:rsid w:val="001B53D3"/>
    <w:rsid w:val="001B61CB"/>
    <w:rsid w:val="001C0A14"/>
    <w:rsid w:val="001E6794"/>
    <w:rsid w:val="002044D9"/>
    <w:rsid w:val="002471DD"/>
    <w:rsid w:val="00251824"/>
    <w:rsid w:val="002815F9"/>
    <w:rsid w:val="00285B2A"/>
    <w:rsid w:val="0029042F"/>
    <w:rsid w:val="002A300E"/>
    <w:rsid w:val="00364148"/>
    <w:rsid w:val="00400EFC"/>
    <w:rsid w:val="0045248B"/>
    <w:rsid w:val="00487339"/>
    <w:rsid w:val="004A4950"/>
    <w:rsid w:val="00500117"/>
    <w:rsid w:val="00526394"/>
    <w:rsid w:val="00570176"/>
    <w:rsid w:val="00571FF1"/>
    <w:rsid w:val="005A1D80"/>
    <w:rsid w:val="005B50E4"/>
    <w:rsid w:val="00615EFF"/>
    <w:rsid w:val="006240F1"/>
    <w:rsid w:val="006522BD"/>
    <w:rsid w:val="006E7D5B"/>
    <w:rsid w:val="006F23DF"/>
    <w:rsid w:val="006F2915"/>
    <w:rsid w:val="0070797E"/>
    <w:rsid w:val="00721071"/>
    <w:rsid w:val="00746FD5"/>
    <w:rsid w:val="007578D6"/>
    <w:rsid w:val="007603F9"/>
    <w:rsid w:val="007E1A00"/>
    <w:rsid w:val="007F0087"/>
    <w:rsid w:val="0081460F"/>
    <w:rsid w:val="00816A33"/>
    <w:rsid w:val="008270B9"/>
    <w:rsid w:val="00845A7D"/>
    <w:rsid w:val="00873526"/>
    <w:rsid w:val="008C0D68"/>
    <w:rsid w:val="008D534E"/>
    <w:rsid w:val="008E6424"/>
    <w:rsid w:val="00915C6B"/>
    <w:rsid w:val="0094639E"/>
    <w:rsid w:val="009616D2"/>
    <w:rsid w:val="009673AB"/>
    <w:rsid w:val="009D79B1"/>
    <w:rsid w:val="00AC741E"/>
    <w:rsid w:val="00B27AB8"/>
    <w:rsid w:val="00BF6C52"/>
    <w:rsid w:val="00C23EC3"/>
    <w:rsid w:val="00C34AF7"/>
    <w:rsid w:val="00C50245"/>
    <w:rsid w:val="00C677AA"/>
    <w:rsid w:val="00C82306"/>
    <w:rsid w:val="00C90A12"/>
    <w:rsid w:val="00CA4F57"/>
    <w:rsid w:val="00D054C7"/>
    <w:rsid w:val="00D27276"/>
    <w:rsid w:val="00DF387E"/>
    <w:rsid w:val="00E241BE"/>
    <w:rsid w:val="00E339CB"/>
    <w:rsid w:val="00E56C7A"/>
    <w:rsid w:val="00E71DF5"/>
    <w:rsid w:val="00EA2213"/>
    <w:rsid w:val="00ED1B5B"/>
    <w:rsid w:val="00F048AF"/>
    <w:rsid w:val="00F62726"/>
    <w:rsid w:val="00F81B20"/>
    <w:rsid w:val="00FA09B2"/>
    <w:rsid w:val="00FD619F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575"/>
  <w15:chartTrackingRefBased/>
  <w15:docId w15:val="{572C75FE-598A-4DD5-8FFC-2863859C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241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9D79B1"/>
    <w:rPr>
      <w:color w:val="0563C1" w:themeColor="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5B50E4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13382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13382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13382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13382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133824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3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3824"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foravsnitt"/>
    <w:uiPriority w:val="99"/>
    <w:semiHidden/>
    <w:unhideWhenUsed/>
    <w:rsid w:val="00066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doi.org/10.1093/ijnp/pyab0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810/pgm.2010.07.2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922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Lie Massey</dc:creator>
  <cp:keywords/>
  <dc:description/>
  <cp:lastModifiedBy>andreas massey</cp:lastModifiedBy>
  <cp:revision>74</cp:revision>
  <dcterms:created xsi:type="dcterms:W3CDTF">2022-09-20T10:32:00Z</dcterms:created>
  <dcterms:modified xsi:type="dcterms:W3CDTF">2022-10-13T10:42:00Z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d9a9af8704e1f81d6cd881f4cf49a84a85d3746c3c7b3b245ab1cfc540862620</vt:lpwstr>
  </property>
</Properties>
</file>