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6"/>
          <w:szCs w:val="36"/>
        </w:rPr>
        <w:t xml:space="preserve">HYPOTHESIS — Knowledge Graph Construction</w:t>
      </w:r>
    </w:p>
    <w:p>
      <w:pPr>
        <w:spacing w:after="400"/>
        <w:jc w:val="center"/>
      </w:pPr>
      <w:r>
        <w:rPr>
          <w:rFonts w:ascii="Times New Roman" w:cs="Times New Roman" w:eastAsia="Times New Roman" w:hAnsi="Times New Roman"/>
          <w:i/>
          <w:iCs/>
          <w:sz w:val="24"/>
          <w:szCs w:val="24"/>
        </w:rPr>
        <w:t xml:space="preserve">Work Done So Far: OptimusKG Subgraph Extraction &amp; Enrichment</w:t>
      </w:r>
    </w:p>
    <w:p>
      <w:pPr>
        <w:spacing w:after="160" w:before="320"/>
      </w:pPr>
      <w:r>
        <w:rPr>
          <w:rFonts w:ascii="Times New Roman" w:cs="Times New Roman" w:eastAsia="Times New Roman" w:hAnsi="Times New Roman"/>
          <w:b/>
          <w:bCs/>
          <w:sz w:val="28"/>
          <w:szCs w:val="28"/>
        </w:rPr>
        <w:t xml:space="preserve">Overview</w:t>
      </w:r>
    </w:p>
    <w:p>
      <w:pPr>
        <w:spacing w:after="140" w:line="360" w:lineRule="auto"/>
        <w:jc w:val="both"/>
      </w:pPr>
      <w:r>
        <w:rPr>
          <w:rFonts w:ascii="Times New Roman" w:cs="Times New Roman" w:eastAsia="Times New Roman" w:hAnsi="Times New Roman"/>
          <w:sz w:val="24"/>
          <w:szCs w:val="24"/>
        </w:rPr>
        <w:t xml:space="preserve">This document records the complete step-by-step process of constructing the biomedical knowledge graph for the HYPOTHESIS drug repurposing system, covering the extraction of a disease-focused subgraph from OptimusKG and its progressive enrichment with curated external datasets. The final working graph is enriched_subgraph_v3_selective.graphml.</w:t>
      </w:r>
    </w:p>
    <w:p>
      <w:pPr>
        <w:spacing w:after="160" w:before="320"/>
      </w:pPr>
      <w:r>
        <w:rPr>
          <w:rFonts w:ascii="Times New Roman" w:cs="Times New Roman" w:eastAsia="Times New Roman" w:hAnsi="Times New Roman"/>
          <w:b/>
          <w:bCs/>
          <w:sz w:val="28"/>
          <w:szCs w:val="28"/>
        </w:rPr>
        <w:t xml:space="preserve">Phase 1 — Source Data: OptimusKG</w:t>
      </w:r>
    </w:p>
    <w:p>
      <w:pPr>
        <w:spacing w:after="120" w:before="200"/>
      </w:pPr>
      <w:r>
        <w:rPr>
          <w:rFonts w:ascii="Times New Roman" w:cs="Times New Roman" w:eastAsia="Times New Roman" w:hAnsi="Times New Roman"/>
          <w:b/>
          <w:bCs/>
          <w:sz w:val="26"/>
          <w:szCs w:val="26"/>
        </w:rPr>
        <w:t xml:space="preserve">1.1  Download OptimusKG from Harvard Dataverse</w:t>
      </w:r>
    </w:p>
    <w:p>
      <w:pPr>
        <w:spacing w:after="140" w:line="360" w:lineRule="auto"/>
        <w:jc w:val="both"/>
      </w:pPr>
      <w:r>
        <w:rPr>
          <w:rFonts w:ascii="Times New Roman" w:cs="Times New Roman" w:eastAsia="Times New Roman" w:hAnsi="Times New Roman"/>
          <w:sz w:val="24"/>
          <w:szCs w:val="24"/>
        </w:rPr>
        <w:t xml:space="preserve">OptimusKG is a multimodal biomedical labeled property graph built and maintained by the Zitnik Lab at Harvard Medical School. It integrates 18 ontologies and controlled vocabularies and was downloaded from Harvard Dataverse (doi:10.7910/DVN/IYNGEV, Version 3.2, 2026) after creating a free account and accepting the CC BY-NC-SA 4.0 license.</w:t>
      </w:r>
    </w:p>
    <w:p>
      <w:pPr>
        <w:spacing w:after="140" w:line="360" w:lineRule="auto"/>
        <w:jc w:val="both"/>
      </w:pPr>
      <w:r>
        <w:rPr>
          <w:rFonts w:ascii="Times New Roman" w:cs="Times New Roman" w:eastAsia="Times New Roman" w:hAnsi="Times New Roman"/>
          <w:sz w:val="24"/>
          <w:szCs w:val="24"/>
        </w:rPr>
        <w:t xml:space="preserve">The graph is distributed as two Apache Parquet files: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nodes.parquet — 192,813 nodes across 10 entity types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edges.parquet — 21,834,669 edges across 27 edge types</w:t>
      </w:r>
    </w:p>
    <w:p>
      <w:pPr>
        <w:spacing w:after="140" w:line="360" w:lineRule="auto"/>
        <w:jc w:val="both"/>
      </w:pPr>
      <w:r>
        <w:rPr>
          <w:rFonts w:ascii="Times New Roman" w:cs="Times New Roman" w:eastAsia="Times New Roman" w:hAnsi="Times New Roman"/>
          <w:sz w:val="24"/>
          <w:szCs w:val="24"/>
        </w:rPr>
        <w:t xml:space="preserve">These were loaded locally using the Polars library in Python for lazy, memory-efficient querying without loading the full graph into RAM.</w:t>
      </w:r>
    </w:p>
    <w:p>
      <w:pPr>
        <w:spacing w:after="120" w:before="200"/>
      </w:pPr>
      <w:r>
        <w:rPr>
          <w:rFonts w:ascii="Times New Roman" w:cs="Times New Roman" w:eastAsia="Times New Roman" w:hAnsi="Times New Roman"/>
          <w:b/>
          <w:bCs/>
          <w:sz w:val="26"/>
          <w:szCs w:val="26"/>
        </w:rPr>
        <w:t xml:space="preserve">1.2  Identify Correct Disease Identifiers</w:t>
      </w:r>
    </w:p>
    <w:p>
      <w:pPr>
        <w:spacing w:after="140" w:line="360" w:lineRule="auto"/>
        <w:jc w:val="both"/>
      </w:pPr>
      <w:r>
        <w:rPr>
          <w:rFonts w:ascii="Times New Roman" w:cs="Times New Roman" w:eastAsia="Times New Roman" w:hAnsi="Times New Roman"/>
          <w:sz w:val="24"/>
          <w:szCs w:val="24"/>
        </w:rPr>
        <w:t xml:space="preserve">Before extracting any subgraph, the exact identifiers used by OptimusKG for each target disease were confirmed by querying the nodes and edges Parquet files directly. The confirmed identifiers and their edge counts in the full graph are:</w:t>
      </w:r>
    </w:p>
    <w:p>
      <w:pPr>
        <w:spacing w:after="80"/>
      </w:pPr>
      <w:r>
        <w:rPr>
          <w:rFonts w:ascii="Times New Roman" w:cs="Times New Roman" w:eastAsia="Times New Roman" w:hAnsi="Times New Roman"/>
          <w:sz w:val="24"/>
          <w:szCs w:val="24"/>
        </w:rPr>
        <w:t xml:space="preserve"/>
      </w:r>
    </w:p>
    <w:p>
      <w:pPr>
        <w:spacing w:after="80"/>
      </w:pPr>
      <w:r>
        <w:rPr>
          <w:rFonts w:ascii="Courier New" w:cs="Courier New" w:eastAsia="Courier New" w:hAnsi="Courier New"/>
          <w:b/>
          <w:bCs/>
          <w:sz w:val="20"/>
          <w:szCs w:val="20"/>
        </w:rPr>
        <w:t xml:space="preserve">Disease                                    Identifier          Total Edges in OptimusKG</w:t>
      </w:r>
    </w:p>
    <w:p>
      <w:pPr>
        <w:spacing w:after="60"/>
      </w:pPr>
      <w:r>
        <w:rPr>
          <w:rFonts w:ascii="Courier New" w:cs="Courier New" w:eastAsia="Courier New" w:hAnsi="Courier New"/>
          <w:sz w:val="20"/>
          <w:szCs w:val="20"/>
        </w:rPr>
        <w:t xml:space="preserve">Cutaneous Leishmaniasis           EFO_0005046         571</w:t>
      </w:r>
    </w:p>
    <w:p>
      <w:pPr>
        <w:spacing w:after="60"/>
      </w:pPr>
      <w:r>
        <w:rPr>
          <w:rFonts w:ascii="Courier New" w:cs="Courier New" w:eastAsia="Courier New" w:hAnsi="Courier New"/>
          <w:sz w:val="20"/>
          <w:szCs w:val="20"/>
        </w:rPr>
        <w:t xml:space="preserve">MDR-TB / Tuberculosis               MONDO_0018076    4,070</w:t>
      </w:r>
    </w:p>
    <w:p>
      <w:pPr>
        <w:spacing w:after="140"/>
      </w:pPr>
      <w:r>
        <w:rPr>
          <w:rFonts w:ascii="Courier New" w:cs="Courier New" w:eastAsia="Courier New" w:hAnsi="Courier New"/>
          <w:sz w:val="20"/>
          <w:szCs w:val="20"/>
        </w:rPr>
        <w:t xml:space="preserve">Dengue                                       EFO_0005547         2,120</w:t>
      </w:r>
    </w:p>
    <w:p>
      <w:pPr>
        <w:spacing w:after="140" w:line="360" w:lineRule="auto"/>
        <w:jc w:val="both"/>
      </w:pPr>
      <w:r>
        <w:rPr>
          <w:rFonts w:ascii="Times New Roman" w:cs="Times New Roman" w:eastAsia="Times New Roman" w:hAnsi="Times New Roman"/>
          <w:sz w:val="24"/>
          <w:szCs w:val="24"/>
        </w:rPr>
        <w:t xml:space="preserve">The edge type breakdown showed that 96–99% of edges for all three diseases were ASSOCIATED_WITH (statistically derived co-occurrence associations), with only 0.4–2.7% being clinically meaningful INDICATION edges. This confirmed the low signal density of these diseases in general-purpose KGs and validated the need for targeted enrichment.</w:t>
      </w:r>
    </w:p>
    <w:p>
      <w:pPr>
        <w:spacing w:after="120" w:before="200"/>
      </w:pPr>
      <w:r>
        <w:rPr>
          <w:rFonts w:ascii="Times New Roman" w:cs="Times New Roman" w:eastAsia="Times New Roman" w:hAnsi="Times New Roman"/>
          <w:b/>
          <w:bCs/>
          <w:sz w:val="26"/>
          <w:szCs w:val="26"/>
        </w:rPr>
        <w:t xml:space="preserve">1.3  Topological Analysis of 1-Hop Neighborhoods</w:t>
      </w:r>
    </w:p>
    <w:p>
      <w:pPr>
        <w:spacing w:after="140" w:line="360" w:lineRule="auto"/>
        <w:jc w:val="both"/>
      </w:pPr>
      <w:r>
        <w:rPr>
          <w:rFonts w:ascii="Times New Roman" w:cs="Times New Roman" w:eastAsia="Times New Roman" w:hAnsi="Times New Roman"/>
          <w:sz w:val="24"/>
          <w:szCs w:val="24"/>
        </w:rPr>
        <w:t xml:space="preserve">Before extraction, a topological analysis was conducted on the immediate (1-hop) neighborhood of the three disease nodes to understand the structure of the local graph. This informed the hub-filtering strategy used during extraction.</w:t>
      </w:r>
    </w:p>
    <w:p>
      <w:pPr>
        <w:spacing w:after="140" w:line="360" w:lineRule="auto"/>
        <w:jc w:val="both"/>
      </w:pPr>
      <w:r>
        <w:rPr>
          <w:rFonts w:ascii="Times New Roman" w:cs="Times New Roman" w:eastAsia="Times New Roman" w:hAnsi="Times New Roman"/>
          <w:sz w:val="24"/>
          <w:szCs w:val="24"/>
        </w:rPr>
        <w:t xml:space="preserve">Key findings from the 1-hop analysis: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Total unique 1-hop neighbor nodes across all 3 diseases: 4,992</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Nodes with degree &gt; 1,000 (high-degree hubs): 3,001 — representing 60.1% of the neighborhood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Nodes with degree &gt; 5,000 (super-hubs): 10 nodes (0.2% of neighborhood)</w:t>
      </w:r>
    </w:p>
    <w:p>
      <w:pPr>
        <w:spacing w:after="140" w:line="360" w:lineRule="auto"/>
        <w:jc w:val="both"/>
      </w:pPr>
      <w:r>
        <w:rPr>
          <w:rFonts w:ascii="Times New Roman" w:cs="Times New Roman" w:eastAsia="Times New Roman" w:hAnsi="Times New Roman"/>
          <w:sz w:val="24"/>
          <w:szCs w:val="24"/>
        </w:rPr>
        <w:t xml:space="preserve">The top hub nodes by total degree were:</w:t>
      </w:r>
    </w:p>
    <w:p>
      <w:pPr>
        <w:spacing w:after="80"/>
      </w:pPr>
      <w:r>
        <w:rPr>
          <w:rFonts w:ascii="Times New Roman" w:cs="Times New Roman" w:eastAsia="Times New Roman" w:hAnsi="Times New Roman"/>
          <w:sz w:val="24"/>
          <w:szCs w:val="24"/>
        </w:rPr>
        <w:t xml:space="preserve"/>
      </w:r>
    </w:p>
    <w:p>
      <w:pPr>
        <w:spacing w:after="60"/>
      </w:pPr>
      <w:r>
        <w:rPr>
          <w:rFonts w:ascii="Courier New" w:cs="Courier New" w:eastAsia="Courier New" w:hAnsi="Courier New"/>
          <w:sz w:val="18"/>
          <w:szCs w:val="18"/>
        </w:rPr>
        <w:t xml:space="preserve">ENSG00000150991 (UBC)    — degree 7,877   — proteasomal/regulatory hub</w:t>
      </w:r>
    </w:p>
    <w:p>
      <w:pPr>
        <w:spacing w:after="60"/>
      </w:pPr>
      <w:r>
        <w:rPr>
          <w:rFonts w:ascii="Courier New" w:cs="Courier New" w:eastAsia="Courier New" w:hAnsi="Courier New"/>
          <w:sz w:val="18"/>
          <w:szCs w:val="18"/>
        </w:rPr>
        <w:t xml:space="preserve">MONDO_0100120            — degree 6,153   — broad disease ontology class</w:t>
      </w:r>
    </w:p>
    <w:p>
      <w:pPr>
        <w:spacing w:after="60"/>
      </w:pPr>
      <w:r>
        <w:rPr>
          <w:rFonts w:ascii="Courier New" w:cs="Courier New" w:eastAsia="Courier New" w:hAnsi="Courier New"/>
          <w:sz w:val="18"/>
          <w:szCs w:val="18"/>
        </w:rPr>
        <w:t xml:space="preserve">ENSG00000232810 (TNF)    — degree 6,144   — inflammatory cytokine sink</w:t>
      </w:r>
    </w:p>
    <w:p>
      <w:pPr>
        <w:spacing w:after="60"/>
      </w:pPr>
      <w:r>
        <w:rPr>
          <w:rFonts w:ascii="Courier New" w:cs="Courier New" w:eastAsia="Courier New" w:hAnsi="Courier New"/>
          <w:sz w:val="18"/>
          <w:szCs w:val="18"/>
        </w:rPr>
        <w:t xml:space="preserve">ENSG00000141510 (TP53)   — degree 6,140   — cellular stress regulator</w:t>
      </w:r>
    </w:p>
    <w:p>
      <w:pPr>
        <w:spacing w:after="140"/>
      </w:pPr>
      <w:r>
        <w:rPr>
          <w:rFonts w:ascii="Courier New" w:cs="Courier New" w:eastAsia="Courier New" w:hAnsi="Courier New"/>
          <w:sz w:val="18"/>
          <w:szCs w:val="18"/>
        </w:rPr>
        <w:t xml:space="preserve">ENSG00000111537 (IFNG)   — degree 4,672   — antiviral/antibacterial cytokine</w:t>
      </w:r>
    </w:p>
    <w:p>
      <w:pPr>
        <w:spacing w:after="140" w:line="360" w:lineRule="auto"/>
        <w:jc w:val="both"/>
      </w:pPr>
      <w:r>
        <w:rPr>
          <w:rFonts w:ascii="Times New Roman" w:cs="Times New Roman" w:eastAsia="Times New Roman" w:hAnsi="Times New Roman"/>
          <w:sz w:val="24"/>
          <w:szCs w:val="24"/>
        </w:rPr>
        <w:t xml:space="preserve">These hub nodes are biologically real but non-specific — they connect to thousands of diseases and would cause the GNN to learn generic patterns rather than disease-specific signal if included. This analysis directly motivated the degree-cap filtering in the extraction step.</w:t>
      </w:r>
    </w:p>
    <w:p>
      <w:pPr>
        <w:spacing w:after="160" w:before="320"/>
      </w:pPr>
      <w:r>
        <w:rPr>
          <w:rFonts w:ascii="Times New Roman" w:cs="Times New Roman" w:eastAsia="Times New Roman" w:hAnsi="Times New Roman"/>
          <w:b/>
          <w:bCs/>
          <w:sz w:val="28"/>
          <w:szCs w:val="28"/>
        </w:rPr>
        <w:t xml:space="preserve">Phase 2 — Subgraph Extraction</w:t>
      </w:r>
    </w:p>
    <w:p>
      <w:pPr>
        <w:spacing w:after="120" w:before="200"/>
      </w:pPr>
      <w:r>
        <w:rPr>
          <w:rFonts w:ascii="Times New Roman" w:cs="Times New Roman" w:eastAsia="Times New Roman" w:hAnsi="Times New Roman"/>
          <w:b/>
          <w:bCs/>
          <w:sz w:val="26"/>
          <w:szCs w:val="26"/>
        </w:rPr>
        <w:t xml:space="preserve">2.1  Extraction Strategy and Rationale</w:t>
      </w:r>
    </w:p>
    <w:p>
      <w:pPr>
        <w:spacing w:after="140" w:line="360" w:lineRule="auto"/>
        <w:jc w:val="both"/>
      </w:pPr>
      <w:r>
        <w:rPr>
          <w:rFonts w:ascii="Times New Roman" w:cs="Times New Roman" w:eastAsia="Times New Roman" w:hAnsi="Times New Roman"/>
          <w:sz w:val="24"/>
          <w:szCs w:val="24"/>
        </w:rPr>
        <w:t xml:space="preserve">A filtered 2-hop neighborhood subgraph was extracted around the three disease nodes. A naive 2-hop extraction was first attempted but caused a memory crash (OpenBLAS error) because including hub nodes in the subgraph resulted in 1.1 million edges — far beyond what NetworkX could load into memory. The extraction was therefore redesigned with the following strategy:</w:t>
      </w:r>
    </w:p>
    <w:p>
      <w:pPr>
        <w:spacing w:after="120" w:before="200"/>
      </w:pPr>
      <w:r>
        <w:rPr>
          <w:rFonts w:ascii="Times New Roman" w:cs="Times New Roman" w:eastAsia="Times New Roman" w:hAnsi="Times New Roman"/>
          <w:b/>
          <w:bCs/>
          <w:sz w:val="26"/>
          <w:szCs w:val="26"/>
        </w:rPr>
        <w:t xml:space="preserve">2.2  Step-by-Step Extraction Process</w:t>
      </w:r>
    </w:p>
    <w:p>
      <w:pPr>
        <w:spacing w:after="140" w:line="360" w:lineRule="auto"/>
        <w:jc w:val="both"/>
      </w:pPr>
      <w:r>
        <w:rPr>
          <w:rFonts w:ascii="Times New Roman" w:cs="Times New Roman" w:eastAsia="Times New Roman" w:hAnsi="Times New Roman"/>
          <w:sz w:val="24"/>
          <w:szCs w:val="24"/>
        </w:rPr>
        <w:t xml:space="preserve">Step 1 — Extract 1-hop neighbors:</w:t>
      </w:r>
    </w:p>
    <w:p>
      <w:pPr>
        <w:spacing w:after="140" w:line="360" w:lineRule="auto"/>
        <w:jc w:val="both"/>
      </w:pPr>
      <w:r>
        <w:rPr>
          <w:rFonts w:ascii="Times New Roman" w:cs="Times New Roman" w:eastAsia="Times New Roman" w:hAnsi="Times New Roman"/>
          <w:sz w:val="24"/>
          <w:szCs w:val="24"/>
        </w:rPr>
        <w:t xml:space="preserve">All nodes directly connected to any of the 3 disease nodes were retrieved. This produced 4,992 unique neighbor nodes.</w:t>
      </w:r>
    </w:p>
    <w:p>
      <w:pPr>
        <w:spacing w:after="80"/>
      </w:pPr>
      <w:r>
        <w:rPr>
          <w:rFonts w:ascii="Times New Roman" w:cs="Times New Roman" w:eastAsia="Times New Roman" w:hAnsi="Times New Roman"/>
          <w:sz w:val="24"/>
          <w:szCs w:val="24"/>
        </w:rPr>
        <w:t xml:space="preserve"/>
      </w:r>
    </w:p>
    <w:p>
      <w:pPr>
        <w:spacing w:after="140" w:line="360" w:lineRule="auto"/>
        <w:jc w:val="both"/>
      </w:pPr>
      <w:r>
        <w:rPr>
          <w:rFonts w:ascii="Times New Roman" w:cs="Times New Roman" w:eastAsia="Times New Roman" w:hAnsi="Times New Roman"/>
          <w:sz w:val="24"/>
          <w:szCs w:val="24"/>
        </w:rPr>
        <w:t xml:space="preserve">Step 2 — Compute degree of all 1-hop neighbors:</w:t>
      </w:r>
    </w:p>
    <w:p>
      <w:pPr>
        <w:spacing w:after="140" w:line="360" w:lineRule="auto"/>
        <w:jc w:val="both"/>
      </w:pPr>
      <w:r>
        <w:rPr>
          <w:rFonts w:ascii="Times New Roman" w:cs="Times New Roman" w:eastAsia="Times New Roman" w:hAnsi="Times New Roman"/>
          <w:sz w:val="24"/>
          <w:szCs w:val="24"/>
        </w:rPr>
        <w:t xml:space="preserve">For each of the 4,992 neighbor nodes, the total degree (in-degree + out-degree) across the full OptimusKG was computed. Nodes with total degree above 500 were classified as hub nodes.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Hub nodes identified (degree &gt; 500): 4,542</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Non-hub neighbors retained: 450</w:t>
      </w:r>
    </w:p>
    <w:p>
      <w:pPr>
        <w:spacing w:after="80"/>
      </w:pPr>
      <w:r>
        <w:rPr>
          <w:rFonts w:ascii="Times New Roman" w:cs="Times New Roman" w:eastAsia="Times New Roman" w:hAnsi="Times New Roman"/>
          <w:sz w:val="24"/>
          <w:szCs w:val="24"/>
        </w:rPr>
        <w:t xml:space="preserve"/>
      </w:r>
    </w:p>
    <w:p>
      <w:pPr>
        <w:spacing w:after="140" w:line="360" w:lineRule="auto"/>
        <w:jc w:val="both"/>
      </w:pPr>
      <w:r>
        <w:rPr>
          <w:rFonts w:ascii="Times New Roman" w:cs="Times New Roman" w:eastAsia="Times New Roman" w:hAnsi="Times New Roman"/>
          <w:sz w:val="24"/>
          <w:szCs w:val="24"/>
        </w:rPr>
        <w:t xml:space="preserve">Step 3 — Limited 2-hop expansion:</w:t>
      </w:r>
    </w:p>
    <w:p>
      <w:pPr>
        <w:spacing w:after="140" w:line="360" w:lineRule="auto"/>
        <w:jc w:val="both"/>
      </w:pPr>
      <w:r>
        <w:rPr>
          <w:rFonts w:ascii="Times New Roman" w:cs="Times New Roman" w:eastAsia="Times New Roman" w:hAnsi="Times New Roman"/>
          <w:sz w:val="24"/>
          <w:szCs w:val="24"/>
        </w:rPr>
        <w:t xml:space="preserve">From the 450 non-hub neighbors only, a second-hop expansion was performed — but restricted to clinically meaningful edge types only: INDICATION, CONTRAINDICATION, PARENT, and OFF_LABEL_USE. This added 924 new nodes while avoiding generic biological associations that would add noise.</w:t>
      </w:r>
    </w:p>
    <w:p>
      <w:pPr>
        <w:spacing w:after="80"/>
      </w:pPr>
      <w:r>
        <w:rPr>
          <w:rFonts w:ascii="Times New Roman" w:cs="Times New Roman" w:eastAsia="Times New Roman" w:hAnsi="Times New Roman"/>
          <w:sz w:val="24"/>
          <w:szCs w:val="24"/>
        </w:rPr>
        <w:t xml:space="preserve"/>
      </w:r>
    </w:p>
    <w:p>
      <w:pPr>
        <w:spacing w:after="140" w:line="360" w:lineRule="auto"/>
        <w:jc w:val="both"/>
      </w:pPr>
      <w:r>
        <w:rPr>
          <w:rFonts w:ascii="Times New Roman" w:cs="Times New Roman" w:eastAsia="Times New Roman" w:hAnsi="Times New Roman"/>
          <w:sz w:val="24"/>
          <w:szCs w:val="24"/>
        </w:rPr>
        <w:t xml:space="preserve">Step 4 — Final node set construction:</w:t>
      </w:r>
    </w:p>
    <w:p>
      <w:pPr>
        <w:spacing w:after="140" w:line="360" w:lineRule="auto"/>
        <w:jc w:val="both"/>
      </w:pPr>
      <w:r>
        <w:rPr>
          <w:rFonts w:ascii="Times New Roman" w:cs="Times New Roman" w:eastAsia="Times New Roman" w:hAnsi="Times New Roman"/>
          <w:sz w:val="24"/>
          <w:szCs w:val="24"/>
        </w:rPr>
        <w:t xml:space="preserve">Hub nodes were excluded from the final node set entirely — not just from being expansion sources. The final set comprised the 3 disease nodes + 450 non-hub neighbors + 924 hop-2 nodes.</w:t>
      </w:r>
    </w:p>
    <w:p>
      <w:pPr>
        <w:spacing w:after="80"/>
      </w:pPr>
      <w:r>
        <w:rPr>
          <w:rFonts w:ascii="Times New Roman" w:cs="Times New Roman" w:eastAsia="Times New Roman" w:hAnsi="Times New Roman"/>
          <w:sz w:val="24"/>
          <w:szCs w:val="24"/>
        </w:rPr>
        <w:t xml:space="preserve"/>
      </w:r>
    </w:p>
    <w:p>
      <w:pPr>
        <w:spacing w:after="140" w:line="360" w:lineRule="auto"/>
        <w:jc w:val="both"/>
      </w:pPr>
      <w:r>
        <w:rPr>
          <w:rFonts w:ascii="Times New Roman" w:cs="Times New Roman" w:eastAsia="Times New Roman" w:hAnsi="Times New Roman"/>
          <w:sz w:val="24"/>
          <w:szCs w:val="24"/>
        </w:rPr>
        <w:t xml:space="preserve">Step 5 — Edge extraction:</w:t>
      </w:r>
    </w:p>
    <w:p>
      <w:pPr>
        <w:spacing w:after="140" w:line="360" w:lineRule="auto"/>
        <w:jc w:val="both"/>
      </w:pPr>
      <w:r>
        <w:rPr>
          <w:rFonts w:ascii="Times New Roman" w:cs="Times New Roman" w:eastAsia="Times New Roman" w:hAnsi="Times New Roman"/>
          <w:sz w:val="24"/>
          <w:szCs w:val="24"/>
        </w:rPr>
        <w:t xml:space="preserve">Only edges where both the source and target nodes were in the final node set were included. This ensured no edges to excluded hub nodes appeared in the graph.</w:t>
      </w:r>
    </w:p>
    <w:p>
      <w:pPr>
        <w:spacing w:after="120" w:before="200"/>
      </w:pPr>
      <w:r>
        <w:rPr>
          <w:rFonts w:ascii="Times New Roman" w:cs="Times New Roman" w:eastAsia="Times New Roman" w:hAnsi="Times New Roman"/>
          <w:b/>
          <w:bCs/>
          <w:sz w:val="26"/>
          <w:szCs w:val="26"/>
        </w:rPr>
        <w:t xml:space="preserve">2.3  Extraction Result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Final nodes: 1,374</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Final edges: 18,858</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Saved as: disease_subgraph.graphml</w:t>
      </w:r>
    </w:p>
    <w:p>
      <w:pPr>
        <w:spacing w:after="80"/>
      </w:pPr>
      <w:r>
        <w:rPr>
          <w:rFonts w:ascii="Times New Roman" w:cs="Times New Roman" w:eastAsia="Times New Roman" w:hAnsi="Times New Roman"/>
          <w:sz w:val="24"/>
          <w:szCs w:val="24"/>
        </w:rPr>
        <w:t xml:space="preserve"/>
      </w:r>
    </w:p>
    <w:p>
      <w:pPr>
        <w:spacing w:after="140" w:line="360" w:lineRule="auto"/>
        <w:jc w:val="both"/>
      </w:pPr>
      <w:r>
        <w:rPr>
          <w:rFonts w:ascii="Times New Roman" w:cs="Times New Roman" w:eastAsia="Times New Roman" w:hAnsi="Times New Roman"/>
          <w:sz w:val="24"/>
          <w:szCs w:val="24"/>
        </w:rPr>
        <w:t xml:space="preserve">Edge type breakdown in extracted subgraph:</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DIS-GEN (disease-gene associations): 15,989 (84.8%)</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DRG-DIS (drug-disease links): 1,872 (9.9%)</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DIS-DIS (disease-disease relationships): 495 (2.6%)</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PHE-GEN (phenotype-gene): 207 (1.1%)</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Other edge types: 295 (1.6%)</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i/>
          <w:iCs/>
          <w:color w:val="444444"/>
          <w:sz w:val="24"/>
          <w:szCs w:val="24"/>
        </w:rPr>
        <w:t xml:space="preserve">Note: Hub nodes with degree &gt; 500 were excluded from the working subgraph to keep it computationally tractable and to avoid non-specific gene noise (UBC, TNF, TP53 etc. connect to thousands of diseases and would dominate GNN message passing without adding disease-specific signal).</w:t>
      </w:r>
    </w:p>
    <w:p>
      <w:pPr>
        <w:spacing w:after="160" w:before="320"/>
      </w:pPr>
      <w:r>
        <w:rPr>
          <w:rFonts w:ascii="Times New Roman" w:cs="Times New Roman" w:eastAsia="Times New Roman" w:hAnsi="Times New Roman"/>
          <w:b/>
          <w:bCs/>
          <w:sz w:val="28"/>
          <w:szCs w:val="28"/>
        </w:rPr>
        <w:t xml:space="preserve">Phase 3 — Node Name Enrichment</w:t>
      </w:r>
    </w:p>
    <w:p>
      <w:pPr>
        <w:spacing w:after="120" w:before="200"/>
      </w:pPr>
      <w:r>
        <w:rPr>
          <w:rFonts w:ascii="Times New Roman" w:cs="Times New Roman" w:eastAsia="Times New Roman" w:hAnsi="Times New Roman"/>
          <w:b/>
          <w:bCs/>
          <w:sz w:val="26"/>
          <w:szCs w:val="26"/>
        </w:rPr>
        <w:t xml:space="preserve">3.1  Why Enrichment Was Needed</w:t>
      </w:r>
    </w:p>
    <w:p>
      <w:pPr>
        <w:spacing w:after="140" w:line="360" w:lineRule="auto"/>
        <w:jc w:val="both"/>
      </w:pPr>
      <w:r>
        <w:rPr>
          <w:rFonts w:ascii="Times New Roman" w:cs="Times New Roman" w:eastAsia="Times New Roman" w:hAnsi="Times New Roman"/>
          <w:sz w:val="24"/>
          <w:szCs w:val="24"/>
        </w:rPr>
        <w:t xml:space="preserve">After extraction, all nodes had only machine-readable identifiers (e.g. MONDO_0018076, ENSG00000141510, CHEMBL76) with no human-readable names. Names were required for frontend visualization, natural language querying, and the agentic explanation layer. Three public APIs were queried sequentially to enrich each node type.</w:t>
      </w:r>
    </w:p>
    <w:p>
      <w:pPr>
        <w:spacing w:after="120" w:before="200"/>
      </w:pPr>
      <w:r>
        <w:rPr>
          <w:rFonts w:ascii="Times New Roman" w:cs="Times New Roman" w:eastAsia="Times New Roman" w:hAnsi="Times New Roman"/>
          <w:b/>
          <w:bCs/>
          <w:sz w:val="26"/>
          <w:szCs w:val="26"/>
        </w:rPr>
        <w:t xml:space="preserve">3.2  API Enrichment Process</w:t>
      </w:r>
    </w:p>
    <w:p>
      <w:pPr>
        <w:spacing w:after="140" w:line="360" w:lineRule="auto"/>
        <w:jc w:val="both"/>
      </w:pPr>
      <w:r>
        <w:rPr>
          <w:rFonts w:ascii="Times New Roman" w:cs="Times New Roman" w:eastAsia="Times New Roman" w:hAnsi="Times New Roman"/>
          <w:sz w:val="24"/>
          <w:szCs w:val="24"/>
        </w:rPr>
        <w:t xml:space="preserve">Disease nodes (850 total) — queried EBI OLS4 (Ontology Lookup Service) API using the disease ontology ID converted from underscore to colon format (e.g. MONDO_0018076 → MONDO:0018076). Retrieved the ontology label for each term.</w:t>
      </w:r>
    </w:p>
    <w:p>
      <w:pPr>
        <w:spacing w:after="80"/>
      </w:pPr>
      <w:r>
        <w:rPr>
          <w:rFonts w:ascii="Times New Roman" w:cs="Times New Roman" w:eastAsia="Times New Roman" w:hAnsi="Times New Roman"/>
          <w:sz w:val="24"/>
          <w:szCs w:val="24"/>
        </w:rPr>
        <w:t xml:space="preserve"/>
      </w:r>
    </w:p>
    <w:p>
      <w:pPr>
        <w:spacing w:after="140" w:line="360" w:lineRule="auto"/>
        <w:jc w:val="both"/>
      </w:pPr>
      <w:r>
        <w:rPr>
          <w:rFonts w:ascii="Times New Roman" w:cs="Times New Roman" w:eastAsia="Times New Roman" w:hAnsi="Times New Roman"/>
          <w:sz w:val="24"/>
          <w:szCs w:val="24"/>
        </w:rPr>
        <w:t xml:space="preserve">Drug nodes (103 total) — queried the ChEMBL REST API for each ChEMBL ID to retrieve the preferred drug name and molecule type.</w:t>
      </w:r>
    </w:p>
    <w:p>
      <w:pPr>
        <w:spacing w:after="80"/>
      </w:pPr>
      <w:r>
        <w:rPr>
          <w:rFonts w:ascii="Times New Roman" w:cs="Times New Roman" w:eastAsia="Times New Roman" w:hAnsi="Times New Roman"/>
          <w:sz w:val="24"/>
          <w:szCs w:val="24"/>
        </w:rPr>
        <w:t xml:space="preserve"/>
      </w:r>
    </w:p>
    <w:p>
      <w:pPr>
        <w:spacing w:after="140" w:line="360" w:lineRule="auto"/>
        <w:jc w:val="both"/>
      </w:pPr>
      <w:r>
        <w:rPr>
          <w:rFonts w:ascii="Times New Roman" w:cs="Times New Roman" w:eastAsia="Times New Roman" w:hAnsi="Times New Roman"/>
          <w:sz w:val="24"/>
          <w:szCs w:val="24"/>
        </w:rPr>
        <w:t xml:space="preserve">Gene nodes (372 total) — queried the Ensembl REST API for each Ensembl gene ID to retrieve the gene display name and description.</w:t>
      </w:r>
    </w:p>
    <w:p>
      <w:pPr>
        <w:spacing w:after="80"/>
      </w:pPr>
      <w:r>
        <w:rPr>
          <w:rFonts w:ascii="Times New Roman" w:cs="Times New Roman" w:eastAsia="Times New Roman" w:hAnsi="Times New Roman"/>
          <w:sz w:val="24"/>
          <w:szCs w:val="24"/>
        </w:rPr>
        <w:t xml:space="preserve"/>
      </w:r>
    </w:p>
    <w:p>
      <w:pPr>
        <w:spacing w:after="140" w:line="360" w:lineRule="auto"/>
        <w:jc w:val="both"/>
      </w:pPr>
      <w:r>
        <w:rPr>
          <w:rFonts w:ascii="Times New Roman" w:cs="Times New Roman" w:eastAsia="Times New Roman" w:hAnsi="Times New Roman"/>
          <w:sz w:val="24"/>
          <w:szCs w:val="24"/>
        </w:rPr>
        <w:t xml:space="preserve">A 0.3-second delay was inserted between each API call to avoid rate limiting. Some nodes returned timeout errors and remained unnamed; None values were cleaned to empty strings before saving to prevent GraphML serialisation errors.</w:t>
      </w:r>
    </w:p>
    <w:p>
      <w:pPr>
        <w:spacing w:after="120" w:before="200"/>
      </w:pPr>
      <w:r>
        <w:rPr>
          <w:rFonts w:ascii="Times New Roman" w:cs="Times New Roman" w:eastAsia="Times New Roman" w:hAnsi="Times New Roman"/>
          <w:b/>
          <w:bCs/>
          <w:sz w:val="26"/>
          <w:szCs w:val="26"/>
        </w:rPr>
        <w:t xml:space="preserve">3.3  Enrichment Result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Disease nodes named: 838 / 850 (98.6%)</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Drug nodes named: 90 / 103 (87.4%)</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Gene nodes named: 356 / 372 (95.7%)</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Saved as: enriched_subgraph.graphml</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Graph size unchanged: 1,374 nodes, 18,858 edges</w:t>
      </w:r>
    </w:p>
    <w:p>
      <w:pPr>
        <w:spacing w:after="160" w:before="320"/>
      </w:pPr>
      <w:r>
        <w:rPr>
          <w:rFonts w:ascii="Times New Roman" w:cs="Times New Roman" w:eastAsia="Times New Roman" w:hAnsi="Times New Roman"/>
          <w:b/>
          <w:bCs/>
          <w:sz w:val="28"/>
          <w:szCs w:val="28"/>
        </w:rPr>
        <w:t xml:space="preserve">Phase 4 — Disease-Specific Enrichment</w:t>
      </w:r>
    </w:p>
    <w:p>
      <w:pPr>
        <w:spacing w:after="120" w:before="200"/>
      </w:pPr>
      <w:r>
        <w:rPr>
          <w:rFonts w:ascii="Times New Roman" w:cs="Times New Roman" w:eastAsia="Times New Roman" w:hAnsi="Times New Roman"/>
          <w:b/>
          <w:bCs/>
          <w:sz w:val="26"/>
          <w:szCs w:val="26"/>
        </w:rPr>
        <w:t xml:space="preserve">4.1  GSK TCAMS TB Dataset (MDR-TB Enrichment)</w:t>
      </w:r>
    </w:p>
    <w:p>
      <w:pPr>
        <w:spacing w:after="140" w:line="360" w:lineRule="auto"/>
        <w:jc w:val="both"/>
      </w:pPr>
      <w:r>
        <w:rPr>
          <w:rFonts w:ascii="Times New Roman" w:cs="Times New Roman" w:eastAsia="Times New Roman" w:hAnsi="Times New Roman"/>
          <w:sz w:val="24"/>
          <w:szCs w:val="24"/>
        </w:rPr>
        <w:t xml:space="preserve">Source: GSK Tres Cantos Antimycobacterial Screening (TCAMS) dataset, downloaded from the ChEMBL NTD portal (Deposited Set 9, January 2013).</w:t>
      </w:r>
    </w:p>
    <w:p>
      <w:pPr>
        <w:spacing w:after="80"/>
      </w:pPr>
      <w:r>
        <w:rPr>
          <w:rFonts w:ascii="Times New Roman" w:cs="Times New Roman" w:eastAsia="Times New Roman" w:hAnsi="Times New Roman"/>
          <w:sz w:val="24"/>
          <w:szCs w:val="24"/>
        </w:rPr>
        <w:t xml:space="preserve"/>
      </w:r>
    </w:p>
    <w:p>
      <w:pPr>
        <w:spacing w:after="140" w:line="360" w:lineRule="auto"/>
        <w:jc w:val="both"/>
      </w:pPr>
      <w:r>
        <w:rPr>
          <w:rFonts w:ascii="Times New Roman" w:cs="Times New Roman" w:eastAsia="Times New Roman" w:hAnsi="Times New Roman"/>
          <w:sz w:val="24"/>
          <w:szCs w:val="24"/>
        </w:rPr>
        <w:t xml:space="preserve">What it contains: 776 compounds experimentally confirmed to inhibit Mycobacterium tuberculosis whole-cell growth, each with an MIC90 value (minimum inhibitory concentration). All 776 compounds are confirmed actives from a controlled phenotypic screen — this is curated ground-truth experimental data, not computational predictions.</w:t>
      </w:r>
    </w:p>
    <w:p>
      <w:pPr>
        <w:spacing w:after="80"/>
      </w:pPr>
      <w:r>
        <w:rPr>
          <w:rFonts w:ascii="Times New Roman" w:cs="Times New Roman" w:eastAsia="Times New Roman" w:hAnsi="Times New Roman"/>
          <w:sz w:val="24"/>
          <w:szCs w:val="24"/>
        </w:rPr>
        <w:t xml:space="preserve"/>
      </w:r>
    </w:p>
    <w:p>
      <w:pPr>
        <w:spacing w:after="140" w:line="360" w:lineRule="auto"/>
        <w:jc w:val="both"/>
      </w:pPr>
      <w:r>
        <w:rPr>
          <w:rFonts w:ascii="Times New Roman" w:cs="Times New Roman" w:eastAsia="Times New Roman" w:hAnsi="Times New Roman"/>
          <w:sz w:val="24"/>
          <w:szCs w:val="24"/>
        </w:rPr>
        <w:t xml:space="preserve">Why it was added: OptimusKG showed MDR-TB (MONDO_0018076) with only 8 direct edges, far below the 340 edges for general tuberculosis. Adding 776 confirmed TB-active compounds directly addresses the sparse drug coverage for drug-resistant tuberculosis specifically.</w:t>
      </w:r>
    </w:p>
    <w:p>
      <w:pPr>
        <w:spacing w:after="80"/>
      </w:pPr>
      <w:r>
        <w:rPr>
          <w:rFonts w:ascii="Times New Roman" w:cs="Times New Roman" w:eastAsia="Times New Roman" w:hAnsi="Times New Roman"/>
          <w:sz w:val="24"/>
          <w:szCs w:val="24"/>
        </w:rPr>
        <w:t xml:space="preserve"/>
      </w:r>
    </w:p>
    <w:p>
      <w:pPr>
        <w:spacing w:after="140" w:line="360" w:lineRule="auto"/>
        <w:jc w:val="both"/>
      </w:pPr>
      <w:r>
        <w:rPr>
          <w:rFonts w:ascii="Times New Roman" w:cs="Times New Roman" w:eastAsia="Times New Roman" w:hAnsi="Times New Roman"/>
          <w:sz w:val="24"/>
          <w:szCs w:val="24"/>
        </w:rPr>
        <w:t xml:space="preserve">What was added to the graph:</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776 new drug nodes, each with GSK compound ID, SMILES structure, and molecular formula</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776 new ACTIVE_AGAINST edges from each compound to the TB disease node, carrying the MIC90_BCG_uM activity value</w:t>
      </w:r>
    </w:p>
    <w:p>
      <w:pPr>
        <w:spacing w:after="80"/>
      </w:pPr>
      <w:r>
        <w:rPr>
          <w:rFonts w:ascii="Times New Roman" w:cs="Times New Roman" w:eastAsia="Times New Roman" w:hAnsi="Times New Roman"/>
          <w:sz w:val="24"/>
          <w:szCs w:val="24"/>
        </w:rPr>
        <w:t xml:space="preserve"/>
      </w:r>
    </w:p>
    <w:p>
      <w:pPr>
        <w:spacing w:after="140" w:line="360" w:lineRule="auto"/>
        <w:jc w:val="both"/>
      </w:pPr>
      <w:r>
        <w:rPr>
          <w:rFonts w:ascii="Times New Roman" w:cs="Times New Roman" w:eastAsia="Times New Roman" w:hAnsi="Times New Roman"/>
          <w:sz w:val="24"/>
          <w:szCs w:val="24"/>
        </w:rPr>
        <w:t xml:space="preserve">Filter basis: No filtering needed. All 776 compounds are pre-validated actives from experimental screening.</w:t>
      </w:r>
    </w:p>
    <w:p>
      <w:pPr>
        <w:spacing w:after="120" w:before="200"/>
      </w:pPr>
      <w:r>
        <w:rPr>
          <w:rFonts w:ascii="Times New Roman" w:cs="Times New Roman" w:eastAsia="Times New Roman" w:hAnsi="Times New Roman"/>
          <w:b/>
          <w:bCs/>
          <w:sz w:val="26"/>
          <w:szCs w:val="26"/>
        </w:rPr>
        <w:t xml:space="preserve">4.2  Enrichment Result After GSK TCAMS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Nodes: 2,149 (added 775 new drug nodes)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Edges: 19,633 (added 776 new ACTIVE_AGAINST edges)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MDR-TB incoming connections: increased from 8 to 835</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Saved as: enriched_subgraph_v2.graphml</w:t>
      </w:r>
    </w:p>
    <w:p>
      <w:pPr>
        <w:spacing w:after="120" w:before="200"/>
      </w:pPr>
      <w:r>
        <w:rPr>
          <w:rFonts w:ascii="Times New Roman" w:cs="Times New Roman" w:eastAsia="Times New Roman" w:hAnsi="Times New Roman"/>
          <w:b/>
          <w:bCs/>
          <w:sz w:val="26"/>
          <w:szCs w:val="26"/>
        </w:rPr>
        <w:t xml:space="preserve">4.3  ChEMBL Bulk Fetch — Attempted and Discarded</w:t>
      </w:r>
    </w:p>
    <w:p>
      <w:pPr>
        <w:spacing w:after="140" w:line="360" w:lineRule="auto"/>
        <w:jc w:val="both"/>
      </w:pPr>
      <w:r>
        <w:rPr>
          <w:rFonts w:ascii="Times New Roman" w:cs="Times New Roman" w:eastAsia="Times New Roman" w:hAnsi="Times New Roman"/>
          <w:sz w:val="24"/>
          <w:szCs w:val="24"/>
        </w:rPr>
        <w:t xml:space="preserve">A bulk API fetch was attempted for Dengue (NS3 and NS5 targets) and Cutaneous Leishmaniasis (Leishmania major and Leishmania donovani targets) from ChEMBL. This approach was ultimately discarded for the following reasons: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NS3 alone returned 121,700 activities across 1,217 API pages from broad antiviral screening campaigns — most compounds had no dengue-specific repurposing evidence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NS5 added approximately 380,000 more activities before hitting server errors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The graph ballooned to 305,500 nodes and 716,159 edges — 66 times larger but mostly noise from generic compound screens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After strict filtering (IC50 ≤ 10µM, valid measurement types only), 549,131 edges were removed and 162,626 orphan nodes deleted, leaving the disease connections almost unchanged from before the bulk fetch</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Leishmania targets returned server errors and no usable data was retrieved</w:t>
      </w:r>
    </w:p>
    <w:p>
      <w:pPr>
        <w:spacing w:after="80"/>
      </w:pPr>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i/>
          <w:iCs/>
          <w:color w:val="444444"/>
          <w:sz w:val="24"/>
          <w:szCs w:val="24"/>
        </w:rPr>
        <w:t xml:space="preserve">Lesson learned: For drug repurposing KG construction, curated small datasets with experimental validation produce significantly more GNN signal than bulk-fetched screening data. Quality of edges is more important than quantity for link prediction tasks.</w:t>
      </w:r>
    </w:p>
    <w:p>
      <w:pPr>
        <w:spacing w:after="120" w:before="200"/>
      </w:pPr>
      <w:r>
        <w:rPr>
          <w:rFonts w:ascii="Times New Roman" w:cs="Times New Roman" w:eastAsia="Times New Roman" w:hAnsi="Times New Roman"/>
          <w:b/>
          <w:bCs/>
          <w:sz w:val="26"/>
          <w:szCs w:val="26"/>
        </w:rPr>
        <w:t xml:space="preserve">4.4  Selective Curated Enrichment for Dengue and CL</w:t>
      </w:r>
    </w:p>
    <w:p>
      <w:pPr>
        <w:spacing w:after="140" w:line="360" w:lineRule="auto"/>
        <w:jc w:val="both"/>
      </w:pPr>
      <w:r>
        <w:rPr>
          <w:rFonts w:ascii="Times New Roman" w:cs="Times New Roman" w:eastAsia="Times New Roman" w:hAnsi="Times New Roman"/>
          <w:sz w:val="24"/>
          <w:szCs w:val="24"/>
        </w:rPr>
        <w:t xml:space="preserve">Instead of bulk fetching, specific drug candidates were manually curated from published literature and clinical trial registries. Only drugs with published experimental evidence, clinical trial registration, or peer-reviewed in vitro activity data were included.</w:t>
      </w:r>
    </w:p>
    <w:p>
      <w:pPr>
        <w:spacing w:after="80"/>
      </w:pPr>
      <w:r>
        <w:rPr>
          <w:rFonts w:ascii="Times New Roman" w:cs="Times New Roman" w:eastAsia="Times New Roman" w:hAnsi="Times New Roman"/>
          <w:sz w:val="24"/>
          <w:szCs w:val="24"/>
        </w:rPr>
        <w:t xml:space="preserve"/>
      </w:r>
    </w:p>
    <w:p>
      <w:pPr>
        <w:spacing w:after="140" w:line="360" w:lineRule="auto"/>
        <w:jc w:val="both"/>
      </w:pPr>
      <w:r>
        <w:rPr>
          <w:rFonts w:ascii="Times New Roman" w:cs="Times New Roman" w:eastAsia="Times New Roman" w:hAnsi="Times New Roman"/>
          <w:sz w:val="24"/>
          <w:szCs w:val="24"/>
        </w:rPr>
        <w:t xml:space="preserve">Dengue — 9 curated candidates added: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Ivermectin — approved antiparasitic with dengue clinical trial evidence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Chloroquine — approved antimalarial tested in dengue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Ribavirin — broad antiviral with dengue activity evidence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Celgosivir — Phase II dengue clinical trial compound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Balapiravir — NS5 polymerase inhibitor, dengue Phase II trial</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Lovastatin — dengue clinical trial, anti-inflammatory mechanism</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Prednisolone, Dexamethasone — severe dengue case management</w:t>
      </w:r>
    </w:p>
    <w:p>
      <w:pPr>
        <w:spacing w:after="80"/>
      </w:pPr>
      <w:r>
        <w:rPr>
          <w:rFonts w:ascii="Times New Roman" w:cs="Times New Roman" w:eastAsia="Times New Roman" w:hAnsi="Times New Roman"/>
          <w:sz w:val="24"/>
          <w:szCs w:val="24"/>
        </w:rPr>
        <w:t xml:space="preserve"/>
      </w:r>
    </w:p>
    <w:p>
      <w:pPr>
        <w:spacing w:after="140" w:line="360" w:lineRule="auto"/>
        <w:jc w:val="both"/>
      </w:pPr>
      <w:r>
        <w:rPr>
          <w:rFonts w:ascii="Times New Roman" w:cs="Times New Roman" w:eastAsia="Times New Roman" w:hAnsi="Times New Roman"/>
          <w:sz w:val="24"/>
          <w:szCs w:val="24"/>
        </w:rPr>
        <w:t xml:space="preserve">Cutaneous Leishmaniasis — 6 curated candidates added (others already present from OptimusKG):</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Auranofin — gold compound with confirmed anti-leishmanial activity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Nitazoxanide — broad antiparasitic with CL activity studies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Cyclophosphamide — proposed in systems biology network study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Chloroquine — anti-leishmanial activity confirmed in vitro</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Doxycycline — CL adjunct therapy with published evidence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Clofazimine — anti-leishmanial repurposing candidate</w:t>
      </w:r>
    </w:p>
    <w:p>
      <w:pPr>
        <w:spacing w:after="80"/>
      </w:pPr>
      <w:r>
        <w:rPr>
          <w:rFonts w:ascii="Times New Roman" w:cs="Times New Roman" w:eastAsia="Times New Roman" w:hAnsi="Times New Roman"/>
          <w:sz w:val="24"/>
          <w:szCs w:val="24"/>
        </w:rPr>
        <w:t xml:space="preserve"/>
      </w:r>
    </w:p>
    <w:p>
      <w:pPr>
        <w:spacing w:after="140" w:line="360" w:lineRule="auto"/>
        <w:jc w:val="both"/>
      </w:pPr>
      <w:r>
        <w:rPr>
          <w:rFonts w:ascii="Times New Roman" w:cs="Times New Roman" w:eastAsia="Times New Roman" w:hAnsi="Times New Roman"/>
          <w:sz w:val="24"/>
          <w:szCs w:val="24"/>
        </w:rPr>
        <w:t xml:space="preserve">Leishmania protein targets — 4 key validated targets added from TriTrypDB:</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LmjF.13.1410 — Leishmania Arginase (LamARG): key virulence target, Dabigatran binding evidence from published docking studies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LmjF.36.2350 — Pteridine Reductase (PTR1): validated drug target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LmjF.29.2410 — Dihydrofolate Reductase-Thymidylate Synthase (DHFR-TS): antifolate drug target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LmjF.10.0440 — Trypanothione Synthetase (TryS): validated as essential for parasite survival</w:t>
      </w:r>
    </w:p>
    <w:p>
      <w:pPr>
        <w:spacing w:after="120" w:before="200"/>
      </w:pPr>
      <w:r>
        <w:rPr>
          <w:rFonts w:ascii="Times New Roman" w:cs="Times New Roman" w:eastAsia="Times New Roman" w:hAnsi="Times New Roman"/>
          <w:b/>
          <w:bCs/>
          <w:sz w:val="26"/>
          <w:szCs w:val="26"/>
        </w:rPr>
        <w:t xml:space="preserve">4.5  DisGeNET Gene-Disease Associations</w:t>
      </w:r>
    </w:p>
    <w:p>
      <w:pPr>
        <w:spacing w:after="140" w:line="360" w:lineRule="auto"/>
        <w:jc w:val="both"/>
      </w:pPr>
      <w:r>
        <w:rPr>
          <w:rFonts w:ascii="Times New Roman" w:cs="Times New Roman" w:eastAsia="Times New Roman" w:hAnsi="Times New Roman"/>
          <w:sz w:val="24"/>
          <w:szCs w:val="24"/>
        </w:rPr>
        <w:t xml:space="preserve">DisGeNET API was queried to add curated gene-disease associations for all three diseases using UMLS disease identifiers (C0023281 for CL, C0041296 for TB, C0011311 for Dengue). Only associations with a DisGeNET confidence score of 0.3 or above were included. A free account and API token were required for access.</w:t>
      </w:r>
    </w:p>
    <w:p>
      <w:pPr>
        <w:spacing w:after="140" w:line="360" w:lineRule="auto"/>
        <w:jc w:val="both"/>
      </w:pPr>
      <w:r>
        <w:rPr>
          <w:rFonts w:ascii="Times New Roman" w:cs="Times New Roman" w:eastAsia="Times New Roman" w:hAnsi="Times New Roman"/>
          <w:sz w:val="24"/>
          <w:szCs w:val="24"/>
        </w:rPr>
        <w:t xml:space="preserve">This step is currently in progress and will add additional GEN-DIS edges for all three diseases, increasing the gene coverage for CL and Dengue specifically which currently have fewer gene connections than TB.</w:t>
      </w:r>
    </w:p>
    <w:p>
      <w:pPr>
        <w:spacing w:after="160" w:before="320"/>
      </w:pPr>
      <w:r>
        <w:rPr>
          <w:rFonts w:ascii="Times New Roman" w:cs="Times New Roman" w:eastAsia="Times New Roman" w:hAnsi="Times New Roman"/>
          <w:b/>
          <w:bCs/>
          <w:sz w:val="28"/>
          <w:szCs w:val="28"/>
        </w:rPr>
        <w:t xml:space="preserve">Phase 5 — Current Final Graph State</w:t>
      </w:r>
    </w:p>
    <w:p>
      <w:pPr>
        <w:spacing w:after="120" w:before="200"/>
      </w:pPr>
      <w:r>
        <w:rPr>
          <w:rFonts w:ascii="Times New Roman" w:cs="Times New Roman" w:eastAsia="Times New Roman" w:hAnsi="Times New Roman"/>
          <w:b/>
          <w:bCs/>
          <w:sz w:val="26"/>
          <w:szCs w:val="26"/>
        </w:rPr>
        <w:t xml:space="preserve">5.1  Graph: enriched_subgraph_v3_selective.graphml</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Total nodes: 2,161</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Total edges: 19,652</w:t>
      </w:r>
    </w:p>
    <w:p>
      <w:pPr>
        <w:spacing w:after="80"/>
      </w:pPr>
      <w:r>
        <w:rPr>
          <w:rFonts w:ascii="Times New Roman" w:cs="Times New Roman" w:eastAsia="Times New Roman" w:hAnsi="Times New Roman"/>
          <w:sz w:val="24"/>
          <w:szCs w:val="24"/>
        </w:rPr>
        <w:t xml:space="preserve"/>
      </w:r>
    </w:p>
    <w:p>
      <w:pPr>
        <w:spacing w:after="140" w:line="360" w:lineRule="auto"/>
        <w:jc w:val="both"/>
      </w:pPr>
      <w:r>
        <w:rPr>
          <w:rFonts w:ascii="Times New Roman" w:cs="Times New Roman" w:eastAsia="Times New Roman" w:hAnsi="Times New Roman"/>
          <w:sz w:val="24"/>
          <w:szCs w:val="24"/>
        </w:rPr>
        <w:t xml:space="preserve">Disease connection summary:</w:t>
      </w:r>
    </w:p>
    <w:p>
      <w:pPr>
        <w:spacing w:after="80"/>
      </w:pPr>
      <w:r>
        <w:rPr>
          <w:rFonts w:ascii="Times New Roman" w:cs="Times New Roman" w:eastAsia="Times New Roman" w:hAnsi="Times New Roman"/>
          <w:sz w:val="24"/>
          <w:szCs w:val="24"/>
        </w:rPr>
        <w:t xml:space="preserve"/>
      </w:r>
    </w:p>
    <w:p>
      <w:pPr>
        <w:spacing w:after="60"/>
      </w:pPr>
      <w:r>
        <w:rPr>
          <w:rFonts w:ascii="Courier New" w:cs="Courier New" w:eastAsia="Courier New" w:hAnsi="Courier New"/>
          <w:b/>
          <w:bCs/>
          <w:sz w:val="18"/>
          <w:szCs w:val="18"/>
        </w:rPr>
        <w:t xml:space="preserve">Disease                    Incoming    Outgoing    Key data source</w:t>
      </w:r>
    </w:p>
    <w:p>
      <w:pPr>
        <w:spacing w:after="60"/>
      </w:pPr>
      <w:r>
        <w:rPr>
          <w:rFonts w:ascii="Courier New" w:cs="Courier New" w:eastAsia="Courier New" w:hAnsi="Courier New"/>
          <w:sz w:val="18"/>
          <w:szCs w:val="18"/>
        </w:rPr>
        <w:t xml:space="preserve">Cutaneous Leishmaniasis    20          41          OptimusKG + curated lit.</w:t>
      </w:r>
    </w:p>
    <w:p>
      <w:pPr>
        <w:spacing w:after="60"/>
      </w:pPr>
      <w:r>
        <w:rPr>
          <w:rFonts w:ascii="Courier New" w:cs="Courier New" w:eastAsia="Courier New" w:hAnsi="Courier New"/>
          <w:sz w:val="18"/>
          <w:szCs w:val="18"/>
        </w:rPr>
        <w:t xml:space="preserve">MDR-TB                     835         280         OptimusKG + GSK TCAMS</w:t>
      </w:r>
    </w:p>
    <w:p>
      <w:pPr>
        <w:spacing w:after="140"/>
      </w:pPr>
      <w:r>
        <w:rPr>
          <w:rFonts w:ascii="Courier New" w:cs="Courier New" w:eastAsia="Courier New" w:hAnsi="Courier New"/>
          <w:sz w:val="18"/>
          <w:szCs w:val="18"/>
        </w:rPr>
        <w:t xml:space="preserve">Dengue                     15          66          OptimusKG + curated lit.</w:t>
      </w:r>
    </w:p>
    <w:p>
      <w:pPr>
        <w:spacing w:after="120" w:before="200"/>
      </w:pPr>
      <w:r>
        <w:rPr>
          <w:rFonts w:ascii="Times New Roman" w:cs="Times New Roman" w:eastAsia="Times New Roman" w:hAnsi="Times New Roman"/>
          <w:b/>
          <w:bCs/>
          <w:sz w:val="26"/>
          <w:szCs w:val="26"/>
        </w:rPr>
        <w:t xml:space="preserve">5.2  Data Sources Integrated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OptimusKG (Harvard, 2026) — base subgraph covering diseases, genes, pathways, and existing drug-disease links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GSK TCAMS TB dataset (ChEMBL NTD) — 776 experimentally confirmed TB-active compounds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Curated Dengue candidates (9 drugs) — from clinical trials and published in vitro studies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Curated CL candidates (6 drugs) — from published repurposing and systems biology literature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TriTrypDB protein targets (4 Leishmania targets) — validated drug targets from parasite proteome database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DisGeNET (in progress) — curated gene-disease associations with confidence scores</w:t>
      </w:r>
    </w:p>
    <w:p>
      <w:pPr>
        <w:spacing w:after="120" w:before="200"/>
      </w:pPr>
      <w:r>
        <w:rPr>
          <w:rFonts w:ascii="Times New Roman" w:cs="Times New Roman" w:eastAsia="Times New Roman" w:hAnsi="Times New Roman"/>
          <w:b/>
          <w:bCs/>
          <w:sz w:val="26"/>
          <w:szCs w:val="26"/>
        </w:rPr>
        <w:t xml:space="preserve">5.3  Graph Version History</w:t>
      </w:r>
    </w:p>
    <w:p>
      <w:pPr>
        <w:spacing w:after="80"/>
      </w:pPr>
      <w:r>
        <w:rPr>
          <w:rFonts w:ascii="Times New Roman" w:cs="Times New Roman" w:eastAsia="Times New Roman" w:hAnsi="Times New Roman"/>
          <w:sz w:val="24"/>
          <w:szCs w:val="24"/>
        </w:rPr>
        <w:t xml:space="preserve"/>
      </w:r>
    </w:p>
    <w:p>
      <w:pPr>
        <w:spacing w:after="60"/>
      </w:pPr>
      <w:r>
        <w:rPr>
          <w:rFonts w:ascii="Courier New" w:cs="Courier New" w:eastAsia="Courier New" w:hAnsi="Courier New"/>
          <w:b/>
          <w:bCs/>
          <w:sz w:val="18"/>
          <w:szCs w:val="18"/>
        </w:rPr>
        <w:t xml:space="preserve">Version                           Nodes      Edges      What was added</w:t>
      </w:r>
    </w:p>
    <w:p>
      <w:pPr>
        <w:spacing w:after="60"/>
      </w:pPr>
      <w:r>
        <w:rPr>
          <w:rFonts w:ascii="Courier New" w:cs="Courier New" w:eastAsia="Courier New" w:hAnsi="Courier New"/>
          <w:sz w:val="18"/>
          <w:szCs w:val="18"/>
        </w:rPr>
        <w:t xml:space="preserve">disease_subgraph.graphml          1,374      18,858     OptimusKG subgraph only</w:t>
      </w:r>
    </w:p>
    <w:p>
      <w:pPr>
        <w:spacing w:after="60"/>
      </w:pPr>
      <w:r>
        <w:rPr>
          <w:rFonts w:ascii="Courier New" w:cs="Courier New" w:eastAsia="Courier New" w:hAnsi="Courier New"/>
          <w:sz w:val="18"/>
          <w:szCs w:val="18"/>
        </w:rPr>
        <w:t xml:space="preserve">enriched_subgraph.graphml         1,374      18,858     + node names from APIs</w:t>
      </w:r>
    </w:p>
    <w:p>
      <w:pPr>
        <w:spacing w:after="60"/>
      </w:pPr>
      <w:r>
        <w:rPr>
          <w:rFonts w:ascii="Courier New" w:cs="Courier New" w:eastAsia="Courier New" w:hAnsi="Courier New"/>
          <w:sz w:val="18"/>
          <w:szCs w:val="18"/>
        </w:rPr>
        <w:t xml:space="preserve">enriched_subgraph_v2.graphml      2,149      19,633     + 776 GSK TCAMS TB drugs</w:t>
      </w:r>
    </w:p>
    <w:p>
      <w:pPr>
        <w:spacing w:after="140"/>
      </w:pPr>
      <w:r>
        <w:rPr>
          <w:rFonts w:ascii="Courier New" w:cs="Courier New" w:eastAsia="Courier New" w:hAnsi="Courier New"/>
          <w:sz w:val="18"/>
          <w:szCs w:val="18"/>
        </w:rPr>
        <w:t xml:space="preserve">enriched_subgraph_v3_selective    2,161      19,652     + curated Dengue/CL drugs</w:t>
      </w:r>
    </w:p>
    <w:p>
      <w:pPr>
        <w:spacing w:after="160" w:before="320"/>
      </w:pPr>
      <w:r>
        <w:rPr>
          <w:rFonts w:ascii="Times New Roman" w:cs="Times New Roman" w:eastAsia="Times New Roman" w:hAnsi="Times New Roman"/>
          <w:b/>
          <w:bCs/>
          <w:sz w:val="28"/>
          <w:szCs w:val="28"/>
        </w:rPr>
        <w:t xml:space="preserve">Phase 6 — Pending Steps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Complete DisGeNET integration — add curated gene-disease associations for all 3 diseases (API token obtained, integration in progress)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Load final graph into Neo4j — for visual exploration, Cypher querying, and frontend integration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Add edge confidence/weight scores — assign weights based on source reliability (experimental &gt; curated literature &gt; computational prediction)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GNN model training — train an inductive GraphSAGE or R-GCN model on the final graph for drug-disease link prediction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Held-out validation — verify that model recovers known repurposed drugs (Miltefosine for VL, known TB hits) before trusting novel predictions</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2026-10-02T08:55:59.768Z</dcterms:created>
  <dcterms:modified xsi:type="dcterms:W3CDTF">2026-10-02T08:55:59.776Z</dcterms:modified>
</cp:coreProperties>
</file>

<file path=docProps/custom.xml><?xml version="1.0" encoding="utf-8"?>
<Properties xmlns="http://schemas.openxmlformats.org/officeDocument/2006/custom-properties" xmlns:vt="http://schemas.openxmlformats.org/officeDocument/2006/docPropsVTypes"/>
</file>