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98" w:rsidRDefault="00174298" w:rsidP="00174298">
      <w:pPr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    </w:t>
      </w:r>
    </w:p>
    <w:p w:rsidR="00174298" w:rsidRDefault="00174298" w:rsidP="00174298">
      <w:pPr>
        <w:rPr>
          <w:rFonts w:ascii="Lucida Sans" w:hAnsi="Lucida Sans"/>
          <w:sz w:val="18"/>
          <w:szCs w:val="18"/>
        </w:rPr>
      </w:pPr>
    </w:p>
    <w:p w:rsidR="00174298" w:rsidRPr="00D513BD" w:rsidRDefault="00174298" w:rsidP="00174298">
      <w:pPr>
        <w:rPr>
          <w:rFonts w:ascii="Lucida Sans" w:hAnsi="Lucida Sans"/>
          <w:sz w:val="18"/>
          <w:szCs w:val="18"/>
        </w:rPr>
      </w:pPr>
    </w:p>
    <w:tbl>
      <w:tblPr>
        <w:tblStyle w:val="TableGrid"/>
        <w:tblW w:w="9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34"/>
        <w:gridCol w:w="5259"/>
      </w:tblGrid>
      <w:tr w:rsidR="00174298" w:rsidRPr="00D03C62" w:rsidTr="0020515B">
        <w:trPr>
          <w:trHeight w:val="1710"/>
        </w:trPr>
        <w:tc>
          <w:tcPr>
            <w:tcW w:w="4134" w:type="dxa"/>
          </w:tcPr>
          <w:p w:rsidR="00174298" w:rsidRDefault="00174298" w:rsidP="0020515B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noProof/>
                <w:sz w:val="18"/>
                <w:szCs w:val="18"/>
              </w:rPr>
              <w:drawing>
                <wp:inline distT="0" distB="0" distL="0" distR="0">
                  <wp:extent cx="2390775" cy="733425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9" w:type="dxa"/>
            <w:vAlign w:val="center"/>
          </w:tcPr>
          <w:p w:rsidR="00174298" w:rsidRDefault="00174298" w:rsidP="0020515B">
            <w:pPr>
              <w:jc w:val="center"/>
              <w:rPr>
                <w:rFonts w:ascii="TimesNewRomanPSMT" w:hAnsi="TimesNewRomanPSMT"/>
                <w:b/>
                <w:sz w:val="40"/>
                <w:szCs w:val="40"/>
              </w:rPr>
            </w:pPr>
            <w:r>
              <w:rPr>
                <w:rFonts w:ascii="TimesNewRomanPSMT" w:hAnsi="TimesNewRomanPSMT"/>
                <w:b/>
                <w:sz w:val="40"/>
                <w:szCs w:val="40"/>
              </w:rPr>
              <w:t xml:space="preserve">Compiling STxP70  </w:t>
            </w:r>
          </w:p>
          <w:p w:rsidR="00174298" w:rsidRPr="001E14F1" w:rsidRDefault="00174298" w:rsidP="0020515B">
            <w:pPr>
              <w:jc w:val="center"/>
              <w:rPr>
                <w:rFonts w:ascii="TimesNewRomanPSMT" w:hAnsi="TimesNewRomanPSMT"/>
                <w:b/>
                <w:sz w:val="40"/>
                <w:szCs w:val="40"/>
              </w:rPr>
            </w:pPr>
            <w:r>
              <w:rPr>
                <w:rFonts w:ascii="TimesNewRomanPSMT" w:hAnsi="TimesNewRomanPSMT"/>
                <w:b/>
                <w:sz w:val="40"/>
                <w:szCs w:val="40"/>
              </w:rPr>
              <w:t>ISP Firmware</w:t>
            </w:r>
          </w:p>
          <w:p w:rsidR="00174298" w:rsidRPr="001E14F1" w:rsidRDefault="00174298" w:rsidP="0020515B">
            <w:pPr>
              <w:jc w:val="center"/>
              <w:rPr>
                <w:rFonts w:ascii="TimesNewRomanPSMT" w:hAnsi="TimesNewRomanPSMT"/>
                <w:b/>
                <w:sz w:val="18"/>
                <w:szCs w:val="18"/>
              </w:rPr>
            </w:pPr>
          </w:p>
        </w:tc>
      </w:tr>
    </w:tbl>
    <w:p w:rsidR="00174298" w:rsidRDefault="00174298" w:rsidP="00174298">
      <w:pPr>
        <w:rPr>
          <w:rFonts w:ascii="Lucida Sans" w:hAnsi="Lucida Sans"/>
          <w:sz w:val="18"/>
          <w:szCs w:val="18"/>
        </w:rPr>
      </w:pPr>
    </w:p>
    <w:p w:rsidR="00174298" w:rsidRDefault="00174298" w:rsidP="00174298">
      <w:pPr>
        <w:rPr>
          <w:rFonts w:ascii="Lucida Sans" w:hAnsi="Lucida Sans"/>
          <w:sz w:val="18"/>
          <w:szCs w:val="18"/>
        </w:rPr>
      </w:pPr>
    </w:p>
    <w:p w:rsidR="00174298" w:rsidRDefault="00174298" w:rsidP="00174298">
      <w:pPr>
        <w:rPr>
          <w:rFonts w:ascii="Lucida Sans" w:hAnsi="Lucida Sans"/>
          <w:sz w:val="18"/>
          <w:szCs w:val="18"/>
        </w:rPr>
      </w:pPr>
    </w:p>
    <w:p w:rsidR="00174298" w:rsidRDefault="00174298" w:rsidP="00174298">
      <w:pPr>
        <w:rPr>
          <w:rFonts w:ascii="Lucida Sans" w:hAnsi="Lucida Sans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2679"/>
        <w:gridCol w:w="6564"/>
      </w:tblGrid>
      <w:tr w:rsidR="00174298" w:rsidTr="0020515B">
        <w:tc>
          <w:tcPr>
            <w:tcW w:w="2808" w:type="dxa"/>
            <w:tcBorders>
              <w:bottom w:val="nil"/>
            </w:tcBorders>
            <w:shd w:val="pct20" w:color="auto" w:fill="auto"/>
            <w:vAlign w:val="center"/>
          </w:tcPr>
          <w:p w:rsidR="00174298" w:rsidRPr="001E14F1" w:rsidRDefault="00174298" w:rsidP="0020515B">
            <w:pPr>
              <w:rPr>
                <w:rFonts w:ascii="Lucida Sans" w:hAnsi="Lucida Sans"/>
                <w:sz w:val="36"/>
                <w:szCs w:val="36"/>
              </w:rPr>
            </w:pPr>
            <w:r w:rsidRPr="001E14F1">
              <w:rPr>
                <w:rFonts w:ascii="TimesNewRomanPSMT" w:hAnsi="TimesNewRomanPSMT" w:cs="TimesNewRomanPSMT"/>
                <w:sz w:val="36"/>
                <w:szCs w:val="36"/>
              </w:rPr>
              <w:t>Purpose</w:t>
            </w:r>
          </w:p>
        </w:tc>
        <w:tc>
          <w:tcPr>
            <w:tcW w:w="7210" w:type="dxa"/>
            <w:vAlign w:val="center"/>
          </w:tcPr>
          <w:p w:rsidR="00AB2D65" w:rsidRPr="00FB1C6A" w:rsidRDefault="00AB2D65" w:rsidP="00AB2D65">
            <w:pPr>
              <w:rPr>
                <w:rFonts w:ascii="TimesNewRomanPSMT" w:hAnsi="TimesNewRomanPSMT"/>
                <w:sz w:val="36"/>
                <w:szCs w:val="36"/>
              </w:rPr>
            </w:pPr>
            <w:r>
              <w:rPr>
                <w:rFonts w:ascii="TimesNewRomanPSMT" w:hAnsi="TimesNewRomanPSMT"/>
                <w:sz w:val="36"/>
                <w:szCs w:val="36"/>
              </w:rPr>
              <w:t>U8500 Compiling STxP70 ISP Firmware code</w:t>
            </w:r>
          </w:p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</w:p>
        </w:tc>
      </w:tr>
      <w:tr w:rsidR="00174298" w:rsidTr="0020515B">
        <w:tc>
          <w:tcPr>
            <w:tcW w:w="2808" w:type="dxa"/>
            <w:tcBorders>
              <w:top w:val="nil"/>
            </w:tcBorders>
            <w:shd w:val="pct20" w:color="auto" w:fill="auto"/>
            <w:vAlign w:val="center"/>
          </w:tcPr>
          <w:p w:rsidR="00174298" w:rsidRPr="001E14F1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1E14F1">
              <w:rPr>
                <w:rFonts w:ascii="TimesNewRomanPSMT" w:hAnsi="TimesNewRomanPSMT"/>
                <w:sz w:val="36"/>
                <w:szCs w:val="36"/>
              </w:rPr>
              <w:t>Document Status</w:t>
            </w:r>
          </w:p>
        </w:tc>
        <w:tc>
          <w:tcPr>
            <w:tcW w:w="7210" w:type="dxa"/>
            <w:vAlign w:val="center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Draft</w:t>
            </w:r>
          </w:p>
        </w:tc>
      </w:tr>
      <w:tr w:rsidR="00174298" w:rsidTr="0020515B">
        <w:tc>
          <w:tcPr>
            <w:tcW w:w="2808" w:type="dxa"/>
            <w:shd w:val="pct20" w:color="auto" w:fill="auto"/>
            <w:vAlign w:val="center"/>
          </w:tcPr>
          <w:p w:rsidR="00174298" w:rsidRPr="001E14F1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1E14F1">
              <w:rPr>
                <w:rFonts w:ascii="TimesNewRomanPSMT" w:hAnsi="TimesNewRomanPSMT"/>
                <w:sz w:val="36"/>
                <w:szCs w:val="36"/>
              </w:rPr>
              <w:t>Date</w:t>
            </w:r>
          </w:p>
        </w:tc>
        <w:tc>
          <w:tcPr>
            <w:tcW w:w="7210" w:type="dxa"/>
            <w:vAlign w:val="center"/>
          </w:tcPr>
          <w:p w:rsidR="00174298" w:rsidRPr="00FB1C6A" w:rsidRDefault="000F5C4C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>
              <w:rPr>
                <w:rFonts w:ascii="TimesNewRomanPSMT" w:hAnsi="TimesNewRomanPSMT"/>
                <w:sz w:val="36"/>
                <w:szCs w:val="36"/>
              </w:rPr>
              <w:t>March 12</w:t>
            </w:r>
            <w:r w:rsidR="00174298" w:rsidRPr="00FB1C6A">
              <w:rPr>
                <w:rFonts w:ascii="TimesNewRomanPSMT" w:hAnsi="TimesNewRomanPSMT"/>
                <w:sz w:val="36"/>
                <w:szCs w:val="36"/>
              </w:rPr>
              <w:t>, 2012</w:t>
            </w:r>
          </w:p>
        </w:tc>
      </w:tr>
      <w:tr w:rsidR="00174298" w:rsidTr="0020515B">
        <w:tc>
          <w:tcPr>
            <w:tcW w:w="2808" w:type="dxa"/>
            <w:shd w:val="pct20" w:color="auto" w:fill="auto"/>
            <w:vAlign w:val="center"/>
          </w:tcPr>
          <w:p w:rsidR="00174298" w:rsidRPr="001E14F1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1E14F1">
              <w:rPr>
                <w:rFonts w:ascii="TimesNewRomanPSMT" w:hAnsi="TimesNewRomanPSMT"/>
                <w:sz w:val="36"/>
                <w:szCs w:val="36"/>
              </w:rPr>
              <w:t xml:space="preserve">Document </w:t>
            </w:r>
          </w:p>
          <w:p w:rsidR="00174298" w:rsidRPr="001E14F1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1E14F1">
              <w:rPr>
                <w:rFonts w:ascii="TimesNewRomanPSMT" w:hAnsi="TimesNewRomanPSMT"/>
                <w:sz w:val="36"/>
                <w:szCs w:val="36"/>
              </w:rPr>
              <w:t>Version</w:t>
            </w:r>
          </w:p>
        </w:tc>
        <w:tc>
          <w:tcPr>
            <w:tcW w:w="7210" w:type="dxa"/>
            <w:vAlign w:val="center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V0.1</w:t>
            </w:r>
          </w:p>
        </w:tc>
      </w:tr>
    </w:tbl>
    <w:p w:rsidR="00174298" w:rsidRDefault="00174298" w:rsidP="00174298">
      <w:pPr>
        <w:rPr>
          <w:rFonts w:ascii="Lucida Sans" w:hAnsi="Lucida Sans"/>
          <w:sz w:val="18"/>
          <w:szCs w:val="18"/>
        </w:rPr>
      </w:pPr>
    </w:p>
    <w:p w:rsidR="00174298" w:rsidRDefault="00174298" w:rsidP="00174298">
      <w:pPr>
        <w:rPr>
          <w:rFonts w:ascii="Lucida Sans" w:hAnsi="Lucida Sans"/>
          <w:sz w:val="18"/>
          <w:szCs w:val="18"/>
        </w:rPr>
      </w:pPr>
    </w:p>
    <w:p w:rsidR="00174298" w:rsidRDefault="00174298" w:rsidP="00174298">
      <w:pPr>
        <w:rPr>
          <w:rFonts w:ascii="Lucida Sans" w:hAnsi="Lucida Sans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510"/>
        <w:gridCol w:w="1998"/>
        <w:gridCol w:w="2413"/>
        <w:gridCol w:w="3322"/>
      </w:tblGrid>
      <w:tr w:rsidR="00174298" w:rsidRPr="00FB1C6A" w:rsidTr="0020515B">
        <w:tc>
          <w:tcPr>
            <w:tcW w:w="1548" w:type="dxa"/>
            <w:shd w:val="pct20" w:color="auto" w:fill="auto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Version</w:t>
            </w:r>
          </w:p>
        </w:tc>
        <w:tc>
          <w:tcPr>
            <w:tcW w:w="2160" w:type="dxa"/>
            <w:shd w:val="pct20" w:color="auto" w:fill="auto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Release Date</w:t>
            </w:r>
          </w:p>
        </w:tc>
        <w:tc>
          <w:tcPr>
            <w:tcW w:w="2701" w:type="dxa"/>
            <w:shd w:val="pct20" w:color="auto" w:fill="auto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Writer</w:t>
            </w:r>
          </w:p>
        </w:tc>
        <w:tc>
          <w:tcPr>
            <w:tcW w:w="3779" w:type="dxa"/>
            <w:shd w:val="pct20" w:color="auto" w:fill="auto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Update</w:t>
            </w:r>
          </w:p>
        </w:tc>
      </w:tr>
      <w:tr w:rsidR="00174298" w:rsidRPr="00FB1C6A" w:rsidTr="0020515B">
        <w:tc>
          <w:tcPr>
            <w:tcW w:w="1548" w:type="dxa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V0.1</w:t>
            </w:r>
          </w:p>
        </w:tc>
        <w:tc>
          <w:tcPr>
            <w:tcW w:w="2160" w:type="dxa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</w:p>
        </w:tc>
        <w:tc>
          <w:tcPr>
            <w:tcW w:w="2701" w:type="dxa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Chetan Nanda</w:t>
            </w:r>
          </w:p>
        </w:tc>
        <w:tc>
          <w:tcPr>
            <w:tcW w:w="3779" w:type="dxa"/>
          </w:tcPr>
          <w:p w:rsidR="00174298" w:rsidRPr="00FB1C6A" w:rsidRDefault="00174298" w:rsidP="0020515B">
            <w:pPr>
              <w:rPr>
                <w:rFonts w:ascii="TimesNewRomanPSMT" w:hAnsi="TimesNewRomanPSMT"/>
                <w:sz w:val="36"/>
                <w:szCs w:val="36"/>
              </w:rPr>
            </w:pPr>
            <w:r w:rsidRPr="00FB1C6A">
              <w:rPr>
                <w:rFonts w:ascii="TimesNewRomanPSMT" w:hAnsi="TimesNewRomanPSMT"/>
                <w:sz w:val="36"/>
                <w:szCs w:val="36"/>
              </w:rPr>
              <w:t>Creation – Initial Draft</w:t>
            </w:r>
          </w:p>
        </w:tc>
      </w:tr>
    </w:tbl>
    <w:p w:rsidR="00174298" w:rsidRDefault="00174298" w:rsidP="00174298">
      <w:pPr>
        <w:rPr>
          <w:rFonts w:ascii="TimesNewRomanPSMT" w:hAnsi="TimesNewRomanPSMT"/>
          <w:sz w:val="36"/>
          <w:szCs w:val="36"/>
        </w:rPr>
      </w:pPr>
    </w:p>
    <w:p w:rsidR="00174298" w:rsidRDefault="00174298" w:rsidP="00174298">
      <w:pPr>
        <w:rPr>
          <w:rFonts w:ascii="TimesNewRomanPSMT" w:hAnsi="TimesNewRomanPSMT"/>
          <w:sz w:val="36"/>
          <w:szCs w:val="36"/>
        </w:rPr>
      </w:pPr>
      <w:r>
        <w:rPr>
          <w:rFonts w:ascii="TimesNewRomanPSMT" w:hAnsi="TimesNewRomanPSMT"/>
          <w:sz w:val="36"/>
          <w:szCs w:val="36"/>
        </w:rPr>
        <w:br w:type="page"/>
      </w:r>
    </w:p>
    <w:p w:rsidR="00174298" w:rsidRPr="00017054" w:rsidRDefault="00174298" w:rsidP="00174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4"/>
          <w:szCs w:val="44"/>
        </w:rPr>
      </w:pPr>
      <w:r w:rsidRPr="00017054">
        <w:rPr>
          <w:rFonts w:ascii="Arial" w:hAnsi="Arial" w:cs="Arial"/>
          <w:color w:val="000000"/>
          <w:sz w:val="44"/>
          <w:szCs w:val="44"/>
        </w:rPr>
        <w:lastRenderedPageBreak/>
        <w:t>Legal Information</w:t>
      </w:r>
    </w:p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4"/>
          <w:szCs w:val="34"/>
        </w:rPr>
      </w:pPr>
    </w:p>
    <w:p w:rsidR="00174298" w:rsidRPr="00017054" w:rsidRDefault="00174298" w:rsidP="00174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17054">
        <w:rPr>
          <w:rFonts w:ascii="Arial" w:hAnsi="Arial" w:cs="Arial"/>
          <w:b/>
          <w:bCs/>
          <w:color w:val="000000"/>
          <w:sz w:val="24"/>
          <w:szCs w:val="24"/>
        </w:rPr>
        <w:t>© Copyright ST-Ericsson, 2009. All Rights Reserved.</w:t>
      </w:r>
    </w:p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174298" w:rsidRPr="00017054" w:rsidRDefault="00174298" w:rsidP="00174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017054">
        <w:rPr>
          <w:rFonts w:ascii="Arial" w:hAnsi="Arial" w:cs="Arial"/>
          <w:b/>
          <w:bCs/>
          <w:color w:val="000000"/>
          <w:sz w:val="24"/>
          <w:szCs w:val="24"/>
        </w:rPr>
        <w:t>Disclaimer</w:t>
      </w:r>
    </w:p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17054">
        <w:rPr>
          <w:rFonts w:ascii="TimesNewRomanPSMT" w:hAnsi="TimesNewRomanPSMT" w:cs="TimesNewRomanPSMT"/>
          <w:color w:val="000000"/>
        </w:rPr>
        <w:t>The contents of this document are subject to change without prior notice. ST-Ericsson makes no representation or warranty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of any nature whatsoever (neither expressed nor implied) with respect to the matters addressed in this document, including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but not limited to warranties of merchantability or fitness for a particular purpose, interpretability or interoperability or,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against infringement of third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party intellectual property rights, and in no event shall ST-Ericsson be liable to any party for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any direct, indirect, incidental and or consequential damages and or loss whatsoever (including but not limited to monetary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losses or loss of data), that might arise from the use of this document or the information in it.</w:t>
      </w:r>
    </w:p>
    <w:p w:rsidR="00174298" w:rsidRPr="00017054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17054">
        <w:rPr>
          <w:rFonts w:ascii="TimesNewRomanPSMT" w:hAnsi="TimesNewRomanPSMT" w:cs="TimesNewRomanPSMT"/>
          <w:color w:val="000000"/>
        </w:rPr>
        <w:t xml:space="preserve">ST-Ericsson and the ST-Ericsson </w:t>
      </w:r>
      <w:r w:rsidR="00931BAD" w:rsidRPr="00017054">
        <w:rPr>
          <w:rFonts w:ascii="TimesNewRomanPSMT" w:hAnsi="TimesNewRomanPSMT" w:cs="TimesNewRomanPSMT"/>
          <w:color w:val="000000"/>
        </w:rPr>
        <w:t>logo is</w:t>
      </w:r>
      <w:r w:rsidRPr="00017054">
        <w:rPr>
          <w:rFonts w:ascii="TimesNewRomanPSMT" w:hAnsi="TimesNewRomanPSMT" w:cs="TimesNewRomanPSMT"/>
          <w:color w:val="000000"/>
        </w:rPr>
        <w:t xml:space="preserve"> trademarks of the ST-Ericsson group of companies or used under a license from</w:t>
      </w:r>
      <w:r>
        <w:rPr>
          <w:rFonts w:ascii="TimesNewRomanPSMT" w:hAnsi="TimesNewRomanPSMT" w:cs="TimesNewRomanPSMT"/>
          <w:color w:val="000000"/>
        </w:rPr>
        <w:t xml:space="preserve"> </w:t>
      </w:r>
      <w:r w:rsidRPr="00017054">
        <w:rPr>
          <w:rFonts w:ascii="TimesNewRomanPSMT" w:hAnsi="TimesNewRomanPSMT" w:cs="TimesNewRomanPSMT"/>
          <w:color w:val="000000"/>
        </w:rPr>
        <w:t>STMicroelectronics NV or Telefonaktiebolaget LM Ericsson.</w:t>
      </w:r>
    </w:p>
    <w:p w:rsidR="00174298" w:rsidRPr="00017054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</w:p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017054">
        <w:rPr>
          <w:rFonts w:ascii="TimesNewRomanPSMT" w:hAnsi="TimesNewRomanPSMT" w:cs="TimesNewRomanPSMT"/>
          <w:color w:val="000000"/>
        </w:rPr>
        <w:t>All other names are the property of their respective owners.</w:t>
      </w:r>
    </w:p>
    <w:p w:rsidR="00174298" w:rsidRPr="00A2432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174298" w:rsidRPr="00A2432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A24328">
        <w:rPr>
          <w:rFonts w:ascii="Arial" w:hAnsi="Arial" w:cs="Arial"/>
          <w:b/>
          <w:bCs/>
          <w:color w:val="000000"/>
          <w:sz w:val="24"/>
          <w:szCs w:val="24"/>
        </w:rPr>
        <w:t>Trademark List</w:t>
      </w:r>
    </w:p>
    <w:p w:rsidR="00174298" w:rsidRPr="00A2432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</w:rPr>
      </w:pPr>
      <w:r w:rsidRPr="00A24328">
        <w:rPr>
          <w:rFonts w:ascii="TimesNewRomanPSMT" w:hAnsi="TimesNewRomanPSMT" w:cs="TimesNewRomanPSMT"/>
          <w:color w:val="000000"/>
        </w:rPr>
        <w:t>All trademarks and registered trademarks are the property of their respective owners.</w:t>
      </w:r>
    </w:p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</w:rPr>
      </w:pPr>
      <w:r w:rsidRPr="00A24328">
        <w:rPr>
          <w:rFonts w:ascii="TimesNewRomanPSMT" w:hAnsi="TimesNewRomanPSMT" w:cs="TimesNewRomanPSMT"/>
          <w:color w:val="FF0000"/>
        </w:rPr>
        <w:t>In addition to the generic statement above, please fill in all trademarks and registered trademarks that could be identified.</w:t>
      </w:r>
    </w:p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</w:rPr>
      </w:pPr>
      <w:r w:rsidRPr="00A24328">
        <w:rPr>
          <w:rFonts w:ascii="TimesNewRomanPSMT" w:hAnsi="TimesNewRomanPSMT" w:cs="TimesNewRomanPSMT"/>
          <w:color w:val="FF0000"/>
        </w:rPr>
        <w:t>See examples below.</w:t>
      </w:r>
    </w:p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35"/>
      </w:tblGrid>
      <w:tr w:rsidR="00174298" w:rsidTr="0020515B">
        <w:tc>
          <w:tcPr>
            <w:tcW w:w="1908" w:type="dxa"/>
          </w:tcPr>
          <w:p w:rsidR="00174298" w:rsidRPr="00A24328" w:rsidRDefault="00174298" w:rsidP="0020515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  <w:r w:rsidRPr="00A24328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Microsoft®</w:t>
            </w:r>
          </w:p>
        </w:tc>
        <w:tc>
          <w:tcPr>
            <w:tcW w:w="7335" w:type="dxa"/>
          </w:tcPr>
          <w:p w:rsidR="00174298" w:rsidRPr="00A24328" w:rsidRDefault="00174298" w:rsidP="0020515B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Microsoft is a registered trademark of Microsoft</w:t>
            </w:r>
          </w:p>
          <w:p w:rsidR="00174298" w:rsidRPr="00A24328" w:rsidRDefault="00174298" w:rsidP="0020515B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Corporation in the United States and/or other</w:t>
            </w:r>
          </w:p>
          <w:p w:rsidR="00174298" w:rsidRPr="00A24328" w:rsidRDefault="00174298" w:rsidP="0020515B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>c</w:t>
            </w:r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ountries</w:t>
            </w:r>
            <w:proofErr w:type="gramEnd"/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</w:p>
          <w:p w:rsidR="00174298" w:rsidRPr="00A24328" w:rsidRDefault="00174298" w:rsidP="0020515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</w:p>
        </w:tc>
      </w:tr>
      <w:tr w:rsidR="00174298" w:rsidTr="0020515B">
        <w:tc>
          <w:tcPr>
            <w:tcW w:w="1908" w:type="dxa"/>
          </w:tcPr>
          <w:p w:rsidR="00174298" w:rsidRPr="00A24328" w:rsidRDefault="00174298" w:rsidP="0020515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  <w:r w:rsidRPr="00A24328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OBEX™</w:t>
            </w:r>
          </w:p>
        </w:tc>
        <w:tc>
          <w:tcPr>
            <w:tcW w:w="7335" w:type="dxa"/>
          </w:tcPr>
          <w:p w:rsidR="00174298" w:rsidRPr="00A24328" w:rsidRDefault="00174298" w:rsidP="0020515B">
            <w:pPr>
              <w:rPr>
                <w:rFonts w:ascii="TimesNewRomanPSMT" w:hAnsi="TimesNewRomanPSMT"/>
                <w:sz w:val="24"/>
                <w:szCs w:val="24"/>
              </w:rPr>
            </w:pPr>
            <w:r w:rsidRPr="00A24328">
              <w:rPr>
                <w:rFonts w:ascii="Arial" w:hAnsi="Arial" w:cs="Arial"/>
                <w:color w:val="FF0000"/>
                <w:sz w:val="24"/>
                <w:szCs w:val="24"/>
              </w:rPr>
              <w:t>OBEX is a trademark of Infrared Data Association.</w:t>
            </w:r>
          </w:p>
          <w:p w:rsidR="00174298" w:rsidRPr="00A24328" w:rsidRDefault="00174298" w:rsidP="0020515B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0000"/>
                <w:sz w:val="24"/>
                <w:szCs w:val="24"/>
              </w:rPr>
            </w:pPr>
          </w:p>
        </w:tc>
      </w:tr>
      <w:tr w:rsidR="00174298" w:rsidTr="0020515B">
        <w:tc>
          <w:tcPr>
            <w:tcW w:w="1908" w:type="dxa"/>
          </w:tcPr>
          <w:p w:rsidR="00174298" w:rsidRPr="00A24328" w:rsidRDefault="00174298" w:rsidP="0020515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 w:rsidRPr="00B0737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Android™</w:t>
            </w:r>
          </w:p>
        </w:tc>
        <w:tc>
          <w:tcPr>
            <w:tcW w:w="7335" w:type="dxa"/>
          </w:tcPr>
          <w:p w:rsidR="00174298" w:rsidRDefault="00174298" w:rsidP="0020515B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  <w:r w:rsidRPr="00B0737A">
              <w:rPr>
                <w:rFonts w:ascii="Arial" w:hAnsi="Arial" w:cs="Arial"/>
                <w:iCs/>
                <w:color w:val="FF0000"/>
                <w:sz w:val="24"/>
                <w:szCs w:val="24"/>
              </w:rPr>
              <w:t>Android is a trademark of Google Inc</w:t>
            </w:r>
            <w:r w:rsidRPr="00B0737A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.</w:t>
            </w:r>
          </w:p>
          <w:p w:rsidR="00174298" w:rsidRPr="0070691D" w:rsidRDefault="00174298" w:rsidP="0020515B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</w:p>
        </w:tc>
      </w:tr>
      <w:tr w:rsidR="00174298" w:rsidTr="0020515B">
        <w:tc>
          <w:tcPr>
            <w:tcW w:w="1908" w:type="dxa"/>
          </w:tcPr>
          <w:p w:rsidR="00174298" w:rsidRPr="00B0737A" w:rsidRDefault="00174298" w:rsidP="0020515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proofErr w:type="spellStart"/>
            <w:r w:rsidRPr="0070691D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Ubuntu</w:t>
            </w:r>
            <w:proofErr w:type="spellEnd"/>
            <w:r w:rsidRPr="0070691D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®</w:t>
            </w:r>
          </w:p>
        </w:tc>
        <w:tc>
          <w:tcPr>
            <w:tcW w:w="7335" w:type="dxa"/>
          </w:tcPr>
          <w:p w:rsidR="00174298" w:rsidRDefault="00174298" w:rsidP="0020515B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  <w:proofErr w:type="spellStart"/>
            <w:r w:rsidRPr="0070691D">
              <w:rPr>
                <w:rFonts w:ascii="Arial" w:hAnsi="Arial" w:cs="Arial"/>
                <w:iCs/>
                <w:color w:val="FF0000"/>
                <w:sz w:val="24"/>
                <w:szCs w:val="24"/>
              </w:rPr>
              <w:t>Ubuntu</w:t>
            </w:r>
            <w:proofErr w:type="spellEnd"/>
            <w:r w:rsidRPr="0070691D">
              <w:rPr>
                <w:rFonts w:ascii="Arial" w:hAnsi="Arial" w:cs="Arial"/>
                <w:iCs/>
                <w:color w:val="FF0000"/>
                <w:sz w:val="24"/>
                <w:szCs w:val="24"/>
              </w:rPr>
              <w:t xml:space="preserve"> is a registered trademark of Canonical</w:t>
            </w:r>
            <w:r>
              <w:rPr>
                <w:rFonts w:ascii="Arial" w:hAnsi="Arial" w:cs="Arial"/>
                <w:iCs/>
                <w:color w:val="FF0000"/>
                <w:sz w:val="24"/>
                <w:szCs w:val="24"/>
              </w:rPr>
              <w:t>.</w:t>
            </w:r>
          </w:p>
          <w:p w:rsidR="00174298" w:rsidRPr="0070691D" w:rsidRDefault="00174298" w:rsidP="0020515B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</w:p>
        </w:tc>
      </w:tr>
      <w:tr w:rsidR="00174298" w:rsidTr="0020515B">
        <w:tc>
          <w:tcPr>
            <w:tcW w:w="1908" w:type="dxa"/>
          </w:tcPr>
          <w:p w:rsidR="00174298" w:rsidRPr="0070691D" w:rsidRDefault="00174298" w:rsidP="0020515B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Sony</w:t>
            </w:r>
            <w:r w:rsidRPr="0070691D">
              <w:rPr>
                <w:rFonts w:ascii="Arial" w:hAnsi="Arial" w:cs="Arial"/>
                <w:i/>
                <w:iCs/>
                <w:color w:val="FF0000"/>
                <w:sz w:val="24"/>
                <w:szCs w:val="24"/>
              </w:rPr>
              <w:t>®</w:t>
            </w:r>
          </w:p>
        </w:tc>
        <w:tc>
          <w:tcPr>
            <w:tcW w:w="7335" w:type="dxa"/>
          </w:tcPr>
          <w:p w:rsidR="00174298" w:rsidRPr="0070691D" w:rsidRDefault="00174298" w:rsidP="0020515B">
            <w:pPr>
              <w:rPr>
                <w:rFonts w:ascii="Arial" w:hAnsi="Arial" w:cs="Arial"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FF0000"/>
                <w:sz w:val="24"/>
                <w:szCs w:val="24"/>
              </w:rPr>
              <w:t>Sony is a registered trademark of Sony Corp.</w:t>
            </w:r>
          </w:p>
        </w:tc>
      </w:tr>
    </w:tbl>
    <w:p w:rsidR="00174298" w:rsidRDefault="00174298" w:rsidP="0017429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36"/>
          <w:szCs w:val="36"/>
        </w:rPr>
      </w:pPr>
    </w:p>
    <w:p w:rsidR="00174298" w:rsidRDefault="00174298" w:rsidP="00174298">
      <w:pPr>
        <w:rPr>
          <w:rFonts w:ascii="TimesNewRomanPSMT" w:hAnsi="TimesNewRomanPSMT"/>
          <w:sz w:val="36"/>
          <w:szCs w:val="36"/>
        </w:rPr>
      </w:pPr>
      <w:r>
        <w:rPr>
          <w:rFonts w:ascii="TimesNewRomanPSMT" w:hAnsi="TimesNewRomanPSMT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79415"/>
        <w:docPartObj>
          <w:docPartGallery w:val="Table of Contents"/>
          <w:docPartUnique/>
        </w:docPartObj>
      </w:sdtPr>
      <w:sdtContent>
        <w:p w:rsidR="00174298" w:rsidRDefault="00174298" w:rsidP="00174298">
          <w:pPr>
            <w:pStyle w:val="TOCHeading"/>
          </w:pPr>
          <w:r>
            <w:t>Table of Contents</w:t>
          </w:r>
        </w:p>
        <w:p w:rsidR="007475C5" w:rsidRDefault="00CC708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CC7084">
            <w:rPr>
              <w:rFonts w:ascii="Arial" w:hAnsi="Arial" w:cs="Arial"/>
            </w:rPr>
            <w:fldChar w:fldCharType="begin"/>
          </w:r>
          <w:r w:rsidR="00174298" w:rsidRPr="004241C8">
            <w:rPr>
              <w:rFonts w:ascii="Arial" w:hAnsi="Arial" w:cs="Arial"/>
            </w:rPr>
            <w:instrText xml:space="preserve"> TOC \o "1-3" \h \z \u </w:instrText>
          </w:r>
          <w:r w:rsidRPr="00CC7084">
            <w:rPr>
              <w:rFonts w:ascii="Arial" w:hAnsi="Arial" w:cs="Arial"/>
            </w:rPr>
            <w:fldChar w:fldCharType="separate"/>
          </w:r>
          <w:hyperlink w:anchor="_Toc319322124" w:history="1">
            <w:r w:rsidR="007475C5" w:rsidRPr="00D735EE">
              <w:rPr>
                <w:rStyle w:val="Hyperlink"/>
                <w:noProof/>
              </w:rPr>
              <w:t>1. References</w:t>
            </w:r>
            <w:r w:rsidR="007475C5">
              <w:rPr>
                <w:noProof/>
                <w:webHidden/>
              </w:rPr>
              <w:tab/>
            </w:r>
            <w:r w:rsidR="007475C5">
              <w:rPr>
                <w:noProof/>
                <w:webHidden/>
              </w:rPr>
              <w:fldChar w:fldCharType="begin"/>
            </w:r>
            <w:r w:rsidR="007475C5">
              <w:rPr>
                <w:noProof/>
                <w:webHidden/>
              </w:rPr>
              <w:instrText xml:space="preserve"> PAGEREF _Toc319322124 \h </w:instrText>
            </w:r>
            <w:r w:rsidR="007475C5">
              <w:rPr>
                <w:noProof/>
                <w:webHidden/>
              </w:rPr>
            </w:r>
            <w:r w:rsidR="007475C5">
              <w:rPr>
                <w:noProof/>
                <w:webHidden/>
              </w:rPr>
              <w:fldChar w:fldCharType="separate"/>
            </w:r>
            <w:r w:rsidR="007475C5">
              <w:rPr>
                <w:noProof/>
                <w:webHidden/>
              </w:rPr>
              <w:t>4</w:t>
            </w:r>
            <w:r w:rsidR="007475C5"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19322125" w:history="1">
            <w:r w:rsidRPr="00D735EE">
              <w:rPr>
                <w:rStyle w:val="Hyperlink"/>
                <w:noProof/>
              </w:rPr>
              <w:t>2. Acronyms and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19322126" w:history="1">
            <w:r w:rsidRPr="00D735EE">
              <w:rPr>
                <w:rStyle w:val="Hyperlink"/>
                <w:noProof/>
              </w:rPr>
              <w:t>2.1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19322127" w:history="1">
            <w:r w:rsidRPr="00D735EE">
              <w:rPr>
                <w:rStyle w:val="Hyperlink"/>
                <w:noProof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19322128" w:history="1">
            <w:r w:rsidRPr="00D735EE">
              <w:rPr>
                <w:rStyle w:val="Hyperlink"/>
                <w:noProof/>
              </w:rPr>
              <w:t>3.1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19322129" w:history="1">
            <w:r w:rsidRPr="00D735EE">
              <w:rPr>
                <w:rStyle w:val="Hyperlink"/>
                <w:noProof/>
              </w:rPr>
              <w:t>3.3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19322130" w:history="1">
            <w:r w:rsidRPr="00D735EE">
              <w:rPr>
                <w:rStyle w:val="Hyperlink"/>
                <w:noProof/>
              </w:rPr>
              <w:t>4.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19322131" w:history="1">
            <w:r w:rsidRPr="00D735EE">
              <w:rPr>
                <w:rStyle w:val="Hyperlink"/>
                <w:noProof/>
              </w:rPr>
              <w:t>4.1 SW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19322132" w:history="1">
            <w:r w:rsidRPr="00D735EE">
              <w:rPr>
                <w:rStyle w:val="Hyperlink"/>
                <w:noProof/>
              </w:rPr>
              <w:t>5. STxP70 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19322133" w:history="1">
            <w:r w:rsidRPr="00D735EE">
              <w:rPr>
                <w:rStyle w:val="Hyperlink"/>
                <w:noProof/>
              </w:rPr>
              <w:t>5.1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2"/>
            <w:tabs>
              <w:tab w:val="right" w:leader="dot" w:pos="9017"/>
            </w:tabs>
            <w:rPr>
              <w:noProof/>
            </w:rPr>
          </w:pPr>
          <w:hyperlink w:anchor="_Toc319322134" w:history="1">
            <w:r w:rsidRPr="00D735EE">
              <w:rPr>
                <w:rStyle w:val="Hyperlink"/>
                <w:noProof/>
              </w:rPr>
              <w:t>5.2 ISP FW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19322135" w:history="1">
            <w:r w:rsidRPr="00D735EE">
              <w:rPr>
                <w:rStyle w:val="Hyperlink"/>
                <w:noProof/>
              </w:rPr>
              <w:t>5.2.1 Exporting Path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19322136" w:history="1">
            <w:r w:rsidRPr="00D735EE">
              <w:rPr>
                <w:rStyle w:val="Hyperlink"/>
                <w:noProof/>
              </w:rPr>
              <w:t>5.2.2 Launch /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C5" w:rsidRDefault="007475C5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19322137" w:history="1">
            <w:r w:rsidRPr="00D735EE">
              <w:rPr>
                <w:rStyle w:val="Hyperlink"/>
                <w:noProof/>
              </w:rPr>
              <w:t>6. Open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98" w:rsidRDefault="00CC7084" w:rsidP="00174298">
          <w:r>
            <w:fldChar w:fldCharType="end"/>
          </w:r>
        </w:p>
      </w:sdtContent>
    </w:sdt>
    <w:p w:rsidR="00174298" w:rsidRDefault="00174298" w:rsidP="00174298">
      <w:pPr>
        <w:tabs>
          <w:tab w:val="left" w:pos="666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/>
          <w:sz w:val="36"/>
          <w:szCs w:val="36"/>
        </w:rPr>
      </w:pPr>
      <w:r>
        <w:rPr>
          <w:rFonts w:ascii="TimesNewRomanPSMT" w:hAnsi="TimesNewRomanPSMT"/>
          <w:sz w:val="36"/>
          <w:szCs w:val="36"/>
        </w:rPr>
        <w:tab/>
      </w:r>
    </w:p>
    <w:p w:rsidR="00174298" w:rsidRDefault="00174298" w:rsidP="00174298">
      <w:pPr>
        <w:rPr>
          <w:rFonts w:ascii="TimesNewRomanPSMT" w:hAnsi="TimesNewRomanPSMT"/>
          <w:sz w:val="36"/>
          <w:szCs w:val="36"/>
        </w:rPr>
      </w:pPr>
      <w:r>
        <w:rPr>
          <w:rFonts w:ascii="TimesNewRomanPSMT" w:hAnsi="TimesNewRomanPSMT"/>
          <w:sz w:val="36"/>
          <w:szCs w:val="36"/>
        </w:rPr>
        <w:br w:type="page"/>
      </w:r>
    </w:p>
    <w:p w:rsidR="00174298" w:rsidRDefault="00174298" w:rsidP="00174298">
      <w:pPr>
        <w:pStyle w:val="Heading1"/>
      </w:pPr>
      <w:bookmarkStart w:id="0" w:name="_Toc319322124"/>
      <w:r w:rsidRPr="004241C8">
        <w:lastRenderedPageBreak/>
        <w:t>1.</w:t>
      </w:r>
      <w:r>
        <w:t xml:space="preserve"> References</w:t>
      </w:r>
      <w:bookmarkEnd w:id="0"/>
    </w:p>
    <w:p w:rsidR="00174298" w:rsidRPr="00621345" w:rsidRDefault="00174298" w:rsidP="00174298"/>
    <w:tbl>
      <w:tblPr>
        <w:tblStyle w:val="TableGrid"/>
        <w:tblW w:w="0" w:type="auto"/>
        <w:tblLook w:val="04A0"/>
      </w:tblPr>
      <w:tblGrid>
        <w:gridCol w:w="1251"/>
        <w:gridCol w:w="498"/>
        <w:gridCol w:w="4799"/>
        <w:gridCol w:w="1036"/>
        <w:gridCol w:w="1659"/>
      </w:tblGrid>
      <w:tr w:rsidR="00174298" w:rsidRPr="00DE0E88" w:rsidTr="00F84E86">
        <w:tc>
          <w:tcPr>
            <w:tcW w:w="1251" w:type="dxa"/>
            <w:shd w:val="pct20" w:color="auto" w:fill="auto"/>
          </w:tcPr>
          <w:p w:rsidR="00174298" w:rsidRPr="00DE0E88" w:rsidRDefault="00174298" w:rsidP="0020515B">
            <w:pPr>
              <w:rPr>
                <w:b/>
              </w:rPr>
            </w:pPr>
            <w:r w:rsidRPr="00DE0E88">
              <w:rPr>
                <w:b/>
              </w:rPr>
              <w:t>Category</w:t>
            </w:r>
          </w:p>
        </w:tc>
        <w:tc>
          <w:tcPr>
            <w:tcW w:w="5297" w:type="dxa"/>
            <w:gridSpan w:val="2"/>
            <w:shd w:val="pct20" w:color="auto" w:fill="auto"/>
          </w:tcPr>
          <w:p w:rsidR="00174298" w:rsidRPr="00DE0E88" w:rsidRDefault="00174298" w:rsidP="0020515B">
            <w:pPr>
              <w:rPr>
                <w:b/>
              </w:rPr>
            </w:pPr>
            <w:r w:rsidRPr="00DE0E88">
              <w:rPr>
                <w:b/>
              </w:rPr>
              <w:t>Title</w:t>
            </w:r>
          </w:p>
        </w:tc>
        <w:tc>
          <w:tcPr>
            <w:tcW w:w="1036" w:type="dxa"/>
            <w:shd w:val="pct20" w:color="auto" w:fill="auto"/>
          </w:tcPr>
          <w:p w:rsidR="00174298" w:rsidRPr="00DE0E88" w:rsidRDefault="00174298" w:rsidP="0020515B">
            <w:pPr>
              <w:rPr>
                <w:b/>
              </w:rPr>
            </w:pPr>
            <w:r w:rsidRPr="00DE0E88">
              <w:rPr>
                <w:b/>
              </w:rPr>
              <w:t>Version</w:t>
            </w:r>
          </w:p>
        </w:tc>
        <w:tc>
          <w:tcPr>
            <w:tcW w:w="1659" w:type="dxa"/>
            <w:shd w:val="pct20" w:color="auto" w:fill="auto"/>
          </w:tcPr>
          <w:p w:rsidR="00174298" w:rsidRPr="00DE0E88" w:rsidRDefault="00174298" w:rsidP="0020515B">
            <w:pPr>
              <w:rPr>
                <w:b/>
              </w:rPr>
            </w:pPr>
            <w:r w:rsidRPr="00DE0E88">
              <w:rPr>
                <w:b/>
              </w:rPr>
              <w:t>Editors</w:t>
            </w:r>
          </w:p>
        </w:tc>
      </w:tr>
      <w:tr w:rsidR="00174298" w:rsidTr="00F84E86">
        <w:tc>
          <w:tcPr>
            <w:tcW w:w="1251" w:type="dxa"/>
          </w:tcPr>
          <w:p w:rsidR="00174298" w:rsidRDefault="00174298" w:rsidP="0020515B">
            <w:r>
              <w:t>SW</w:t>
            </w:r>
          </w:p>
        </w:tc>
        <w:tc>
          <w:tcPr>
            <w:tcW w:w="498" w:type="dxa"/>
          </w:tcPr>
          <w:p w:rsidR="00174298" w:rsidRPr="00655211" w:rsidRDefault="00F84E86" w:rsidP="0020515B">
            <w:r>
              <w:t>/1</w:t>
            </w:r>
            <w:r w:rsidR="00174298">
              <w:t>/</w:t>
            </w:r>
          </w:p>
        </w:tc>
        <w:tc>
          <w:tcPr>
            <w:tcW w:w="4799" w:type="dxa"/>
          </w:tcPr>
          <w:p w:rsidR="00174298" w:rsidRPr="00655211" w:rsidRDefault="00F84E86" w:rsidP="0020515B">
            <w:r w:rsidRPr="00F84E86">
              <w:t>STE Imaging Software Development Doc</w:t>
            </w:r>
          </w:p>
        </w:tc>
        <w:tc>
          <w:tcPr>
            <w:tcW w:w="1036" w:type="dxa"/>
          </w:tcPr>
          <w:p w:rsidR="00174298" w:rsidRDefault="00174298" w:rsidP="0020515B">
            <w:r>
              <w:t>V1.0</w:t>
            </w:r>
          </w:p>
        </w:tc>
        <w:tc>
          <w:tcPr>
            <w:tcW w:w="1659" w:type="dxa"/>
          </w:tcPr>
          <w:p w:rsidR="00174298" w:rsidRDefault="00174298" w:rsidP="0020515B">
            <w:r>
              <w:t>Chetan NANDA</w:t>
            </w:r>
          </w:p>
        </w:tc>
      </w:tr>
      <w:tr w:rsidR="00174298" w:rsidTr="00F84E86">
        <w:tc>
          <w:tcPr>
            <w:tcW w:w="1251" w:type="dxa"/>
          </w:tcPr>
          <w:p w:rsidR="00174298" w:rsidRDefault="00174298" w:rsidP="0020515B"/>
        </w:tc>
        <w:tc>
          <w:tcPr>
            <w:tcW w:w="498" w:type="dxa"/>
          </w:tcPr>
          <w:p w:rsidR="00174298" w:rsidRDefault="00174298" w:rsidP="0020515B"/>
        </w:tc>
        <w:tc>
          <w:tcPr>
            <w:tcW w:w="4799" w:type="dxa"/>
          </w:tcPr>
          <w:p w:rsidR="00174298" w:rsidRDefault="00174298" w:rsidP="0020515B"/>
        </w:tc>
        <w:tc>
          <w:tcPr>
            <w:tcW w:w="1036" w:type="dxa"/>
          </w:tcPr>
          <w:p w:rsidR="00174298" w:rsidRDefault="00174298" w:rsidP="0020515B"/>
        </w:tc>
        <w:tc>
          <w:tcPr>
            <w:tcW w:w="1659" w:type="dxa"/>
          </w:tcPr>
          <w:p w:rsidR="00174298" w:rsidRDefault="00174298" w:rsidP="0020515B"/>
        </w:tc>
      </w:tr>
    </w:tbl>
    <w:p w:rsidR="00174298" w:rsidRPr="000F3837" w:rsidRDefault="00174298" w:rsidP="00174298"/>
    <w:p w:rsidR="00174298" w:rsidRDefault="00174298" w:rsidP="00174298">
      <w:r>
        <w:br w:type="page"/>
      </w:r>
    </w:p>
    <w:p w:rsidR="00174298" w:rsidRDefault="00174298" w:rsidP="00174298">
      <w:pPr>
        <w:pStyle w:val="Heading1"/>
      </w:pPr>
      <w:bookmarkStart w:id="1" w:name="_Toc319322125"/>
      <w:r>
        <w:lastRenderedPageBreak/>
        <w:t>2. Acronyms and Terms</w:t>
      </w:r>
      <w:bookmarkEnd w:id="1"/>
    </w:p>
    <w:p w:rsidR="00174298" w:rsidRDefault="00174298" w:rsidP="00174298">
      <w:pPr>
        <w:pStyle w:val="Heading2"/>
        <w:tabs>
          <w:tab w:val="left" w:pos="1920"/>
        </w:tabs>
      </w:pPr>
      <w:bookmarkStart w:id="2" w:name="_Toc319322126"/>
      <w:r>
        <w:t>2.1 Glossary</w:t>
      </w:r>
      <w:bookmarkEnd w:id="2"/>
      <w:r>
        <w:tab/>
      </w:r>
    </w:p>
    <w:tbl>
      <w:tblPr>
        <w:tblStyle w:val="TableGrid"/>
        <w:tblW w:w="0" w:type="auto"/>
        <w:tblLook w:val="04A0"/>
      </w:tblPr>
      <w:tblGrid>
        <w:gridCol w:w="1548"/>
        <w:gridCol w:w="7695"/>
      </w:tblGrid>
      <w:tr w:rsidR="00174298" w:rsidRPr="00BC7E56" w:rsidTr="0020515B">
        <w:tc>
          <w:tcPr>
            <w:tcW w:w="1548" w:type="dxa"/>
            <w:shd w:val="pct20" w:color="auto" w:fill="auto"/>
          </w:tcPr>
          <w:p w:rsidR="00174298" w:rsidRPr="00BC7E56" w:rsidRDefault="00174298" w:rsidP="0020515B">
            <w:pPr>
              <w:rPr>
                <w:b/>
              </w:rPr>
            </w:pPr>
            <w:r w:rsidRPr="00BC7E56">
              <w:rPr>
                <w:b/>
              </w:rPr>
              <w:t>Term</w:t>
            </w:r>
          </w:p>
        </w:tc>
        <w:tc>
          <w:tcPr>
            <w:tcW w:w="7695" w:type="dxa"/>
            <w:shd w:val="pct20" w:color="auto" w:fill="auto"/>
          </w:tcPr>
          <w:p w:rsidR="00174298" w:rsidRPr="00BC7E56" w:rsidRDefault="00174298" w:rsidP="0020515B">
            <w:pPr>
              <w:rPr>
                <w:b/>
              </w:rPr>
            </w:pPr>
            <w:r w:rsidRPr="00BC7E56">
              <w:rPr>
                <w:b/>
              </w:rPr>
              <w:t>Definition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3A</w:t>
            </w:r>
          </w:p>
        </w:tc>
        <w:tc>
          <w:tcPr>
            <w:tcW w:w="7695" w:type="dxa"/>
          </w:tcPr>
          <w:p w:rsidR="00174298" w:rsidRDefault="00174298" w:rsidP="0020515B">
            <w:r>
              <w:rPr>
                <w:rFonts w:ascii="TimesNewRomanPSMT" w:hAnsi="TimesNewRomanPSMT" w:cs="TimesNewRomanPSMT"/>
                <w:sz w:val="19"/>
                <w:szCs w:val="19"/>
              </w:rPr>
              <w:t>AEC + AWB + AF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FW</w:t>
            </w:r>
          </w:p>
        </w:tc>
        <w:tc>
          <w:tcPr>
            <w:tcW w:w="7695" w:type="dxa"/>
          </w:tcPr>
          <w:p w:rsidR="00174298" w:rsidRDefault="00174298" w:rsidP="0020515B">
            <w:r>
              <w:t>Firmware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HREF</w:t>
            </w:r>
          </w:p>
        </w:tc>
        <w:tc>
          <w:tcPr>
            <w:tcW w:w="7695" w:type="dxa"/>
          </w:tcPr>
          <w:p w:rsidR="00174298" w:rsidRDefault="00174298" w:rsidP="0020515B">
            <w:r>
              <w:t>STE Reference Board</w:t>
            </w:r>
          </w:p>
        </w:tc>
      </w:tr>
      <w:tr w:rsidR="00CA0CD7" w:rsidTr="0020515B">
        <w:tc>
          <w:tcPr>
            <w:tcW w:w="1548" w:type="dxa"/>
          </w:tcPr>
          <w:p w:rsidR="00CA0CD7" w:rsidRDefault="00CA0CD7" w:rsidP="0020515B">
            <w:r>
              <w:t>IRP</w:t>
            </w:r>
          </w:p>
        </w:tc>
        <w:tc>
          <w:tcPr>
            <w:tcW w:w="7695" w:type="dxa"/>
          </w:tcPr>
          <w:p w:rsidR="00CA0CD7" w:rsidRDefault="00CA0CD7" w:rsidP="0020515B">
            <w:r>
              <w:t>Image Reconstruction Pipe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ISL</w:t>
            </w:r>
          </w:p>
        </w:tc>
        <w:tc>
          <w:tcPr>
            <w:tcW w:w="7695" w:type="dxa"/>
          </w:tcPr>
          <w:p w:rsidR="00174298" w:rsidRPr="00BC7E56" w:rsidRDefault="00174298" w:rsidP="0020515B">
            <w:r>
              <w:t>Intelligent Status Line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ISP</w:t>
            </w:r>
          </w:p>
        </w:tc>
        <w:tc>
          <w:tcPr>
            <w:tcW w:w="7695" w:type="dxa"/>
          </w:tcPr>
          <w:p w:rsidR="00174298" w:rsidRDefault="00174298" w:rsidP="0020515B">
            <w:r w:rsidRPr="00BC7E56">
              <w:t>Image Signal Processor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ITE</w:t>
            </w:r>
          </w:p>
        </w:tc>
        <w:tc>
          <w:tcPr>
            <w:tcW w:w="7695" w:type="dxa"/>
          </w:tcPr>
          <w:p w:rsidR="00174298" w:rsidRDefault="00174298" w:rsidP="0020515B">
            <w:r>
              <w:t>Integrated Test Environment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LLCD</w:t>
            </w:r>
          </w:p>
        </w:tc>
        <w:tc>
          <w:tcPr>
            <w:tcW w:w="7695" w:type="dxa"/>
          </w:tcPr>
          <w:p w:rsidR="00174298" w:rsidRDefault="00174298" w:rsidP="0020515B">
            <w:r>
              <w:t>Low Level Camera Driver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MMDSP</w:t>
            </w:r>
          </w:p>
        </w:tc>
        <w:tc>
          <w:tcPr>
            <w:tcW w:w="7695" w:type="dxa"/>
          </w:tcPr>
          <w:p w:rsidR="00174298" w:rsidRDefault="00174298" w:rsidP="0020515B">
            <w:r>
              <w:t>Multimedia DSP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MMTE</w:t>
            </w:r>
          </w:p>
        </w:tc>
        <w:tc>
          <w:tcPr>
            <w:tcW w:w="7695" w:type="dxa"/>
          </w:tcPr>
          <w:p w:rsidR="00174298" w:rsidRDefault="00174298" w:rsidP="0020515B">
            <w:r>
              <w:t>Multimedia Test Environment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NMF</w:t>
            </w:r>
          </w:p>
        </w:tc>
        <w:tc>
          <w:tcPr>
            <w:tcW w:w="7695" w:type="dxa"/>
          </w:tcPr>
          <w:p w:rsidR="00174298" w:rsidRDefault="00174298" w:rsidP="0020515B">
            <w:proofErr w:type="spellStart"/>
            <w:r>
              <w:t>Nomadik</w:t>
            </w:r>
            <w:proofErr w:type="spellEnd"/>
            <w:r>
              <w:t xml:space="preserve"> Multimedia Framework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OMX</w:t>
            </w:r>
          </w:p>
        </w:tc>
        <w:tc>
          <w:tcPr>
            <w:tcW w:w="7695" w:type="dxa"/>
          </w:tcPr>
          <w:p w:rsidR="00174298" w:rsidRDefault="00174298" w:rsidP="0020515B">
            <w:proofErr w:type="spellStart"/>
            <w:r>
              <w:t>OpenMax</w:t>
            </w:r>
            <w:proofErr w:type="spellEnd"/>
          </w:p>
        </w:tc>
      </w:tr>
      <w:tr w:rsidR="001A050D" w:rsidTr="0020515B">
        <w:tc>
          <w:tcPr>
            <w:tcW w:w="1548" w:type="dxa"/>
          </w:tcPr>
          <w:p w:rsidR="001A050D" w:rsidRDefault="001A050D" w:rsidP="0020515B">
            <w:r>
              <w:t>RHEL</w:t>
            </w:r>
          </w:p>
        </w:tc>
        <w:tc>
          <w:tcPr>
            <w:tcW w:w="7695" w:type="dxa"/>
          </w:tcPr>
          <w:p w:rsidR="001A050D" w:rsidRDefault="001A050D" w:rsidP="0020515B">
            <w:proofErr w:type="spellStart"/>
            <w:r>
              <w:t>Redhat</w:t>
            </w:r>
            <w:proofErr w:type="spellEnd"/>
            <w:r>
              <w:t xml:space="preserve"> Enterprise Linux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>
            <w:r>
              <w:t>SDK</w:t>
            </w:r>
          </w:p>
        </w:tc>
        <w:tc>
          <w:tcPr>
            <w:tcW w:w="7695" w:type="dxa"/>
          </w:tcPr>
          <w:p w:rsidR="00174298" w:rsidRDefault="00174298" w:rsidP="0020515B">
            <w:r>
              <w:t>Software Development Kit</w:t>
            </w:r>
          </w:p>
        </w:tc>
      </w:tr>
      <w:tr w:rsidR="00CA0CD7" w:rsidTr="0020515B">
        <w:tc>
          <w:tcPr>
            <w:tcW w:w="1548" w:type="dxa"/>
          </w:tcPr>
          <w:p w:rsidR="00CA0CD7" w:rsidRDefault="00CA0CD7" w:rsidP="0020515B">
            <w:r>
              <w:t>SIA</w:t>
            </w:r>
          </w:p>
        </w:tc>
        <w:tc>
          <w:tcPr>
            <w:tcW w:w="7695" w:type="dxa"/>
          </w:tcPr>
          <w:p w:rsidR="00CA0CD7" w:rsidRDefault="00CA0CD7" w:rsidP="0020515B">
            <w:r>
              <w:t>Smart Imaging Accelerator</w:t>
            </w:r>
          </w:p>
        </w:tc>
      </w:tr>
      <w:tr w:rsidR="00174298" w:rsidTr="0020515B">
        <w:tc>
          <w:tcPr>
            <w:tcW w:w="1548" w:type="dxa"/>
          </w:tcPr>
          <w:p w:rsidR="00174298" w:rsidRDefault="00C30CD2" w:rsidP="0020515B">
            <w:r>
              <w:t>XP70</w:t>
            </w:r>
          </w:p>
        </w:tc>
        <w:tc>
          <w:tcPr>
            <w:tcW w:w="7695" w:type="dxa"/>
          </w:tcPr>
          <w:p w:rsidR="00174298" w:rsidRDefault="00C30CD2" w:rsidP="0020515B">
            <w:r>
              <w:t xml:space="preserve">Dedicated MCU </w:t>
            </w:r>
          </w:p>
        </w:tc>
      </w:tr>
      <w:tr w:rsidR="00174298" w:rsidTr="0020515B">
        <w:tc>
          <w:tcPr>
            <w:tcW w:w="1548" w:type="dxa"/>
          </w:tcPr>
          <w:p w:rsidR="00174298" w:rsidRDefault="00174298" w:rsidP="0020515B"/>
        </w:tc>
        <w:tc>
          <w:tcPr>
            <w:tcW w:w="7695" w:type="dxa"/>
          </w:tcPr>
          <w:p w:rsidR="00174298" w:rsidRDefault="00174298" w:rsidP="0020515B"/>
        </w:tc>
      </w:tr>
    </w:tbl>
    <w:p w:rsidR="00174298" w:rsidRPr="00BC7E56" w:rsidRDefault="00174298" w:rsidP="00174298"/>
    <w:p w:rsidR="00174298" w:rsidRDefault="00174298" w:rsidP="00174298">
      <w:r>
        <w:br w:type="page"/>
      </w:r>
    </w:p>
    <w:p w:rsidR="00174298" w:rsidRDefault="00174298" w:rsidP="00174298">
      <w:pPr>
        <w:pStyle w:val="Heading1"/>
      </w:pPr>
      <w:bookmarkStart w:id="3" w:name="_Toc319322127"/>
      <w:r>
        <w:lastRenderedPageBreak/>
        <w:t>3. Introduction</w:t>
      </w:r>
      <w:bookmarkEnd w:id="3"/>
    </w:p>
    <w:p w:rsidR="00553A23" w:rsidRDefault="00CA0CD7" w:rsidP="00553A23">
      <w:pPr>
        <w:spacing w:after="0"/>
      </w:pPr>
      <w:r>
        <w:t>STE Imaging HW stack also called SIA contains an ‘Image Reconstruction Pipe’ (IRP)</w:t>
      </w:r>
      <w:r w:rsidR="00553A23">
        <w:t>/ISP</w:t>
      </w:r>
      <w:r>
        <w:t>.</w:t>
      </w:r>
      <w:r w:rsidR="00553A23">
        <w:t xml:space="preserve"> It </w:t>
      </w:r>
      <w:r w:rsidR="00504D34">
        <w:t>provides</w:t>
      </w:r>
      <w:r w:rsidR="00553A23">
        <w:t xml:space="preserve"> </w:t>
      </w:r>
      <w:r w:rsidR="00504D34">
        <w:t>lots</w:t>
      </w:r>
      <w:r w:rsidR="00553A23">
        <w:t xml:space="preserve"> of Image processing features e.g.</w:t>
      </w:r>
    </w:p>
    <w:p w:rsidR="00CA0CD7" w:rsidRDefault="00553A23" w:rsidP="00553A23">
      <w:pPr>
        <w:pStyle w:val="ListParagraph"/>
        <w:numPr>
          <w:ilvl w:val="0"/>
          <w:numId w:val="10"/>
        </w:numPr>
        <w:spacing w:after="0"/>
      </w:pPr>
      <w:r>
        <w:t>Support 8, 10, or 12 Bit data sensor</w:t>
      </w:r>
    </w:p>
    <w:p w:rsidR="00553A23" w:rsidRDefault="00553A23" w:rsidP="00553A23">
      <w:pPr>
        <w:pStyle w:val="ListParagraph"/>
        <w:numPr>
          <w:ilvl w:val="0"/>
          <w:numId w:val="10"/>
        </w:numPr>
        <w:spacing w:after="0"/>
      </w:pPr>
      <w:r>
        <w:t>Lens shading correction.</w:t>
      </w:r>
    </w:p>
    <w:p w:rsidR="00553A23" w:rsidRDefault="00504D34" w:rsidP="00553A23">
      <w:pPr>
        <w:pStyle w:val="ListParagraph"/>
        <w:numPr>
          <w:ilvl w:val="0"/>
          <w:numId w:val="10"/>
        </w:numPr>
        <w:spacing w:after="0"/>
      </w:pPr>
      <w:r>
        <w:t>Defect correction etc…</w:t>
      </w:r>
    </w:p>
    <w:p w:rsidR="00553A23" w:rsidRDefault="00504D34" w:rsidP="00553A23">
      <w:pPr>
        <w:spacing w:after="0"/>
      </w:pPr>
      <w:r>
        <w:t>A</w:t>
      </w:r>
      <w:r w:rsidR="00553A23">
        <w:t>ll ISP features are configured and controlled through ISP FW running on dedicated MCU i.e. STxP70.</w:t>
      </w:r>
    </w:p>
    <w:p w:rsidR="00553A23" w:rsidRDefault="00553A23" w:rsidP="00553A23">
      <w:pPr>
        <w:spacing w:after="0"/>
      </w:pPr>
    </w:p>
    <w:p w:rsidR="00553A23" w:rsidRDefault="00553A23" w:rsidP="00553A23">
      <w:pPr>
        <w:spacing w:after="0"/>
      </w:pPr>
      <w:r>
        <w:t>This document provides details about installing STxP70 tool chain, compiling ISP FW.</w:t>
      </w:r>
    </w:p>
    <w:p w:rsidR="00174298" w:rsidRDefault="00174298" w:rsidP="00174298">
      <w:pPr>
        <w:pStyle w:val="Heading2"/>
      </w:pPr>
      <w:bookmarkStart w:id="4" w:name="_Toc319322128"/>
      <w:r>
        <w:t>3.</w:t>
      </w:r>
      <w:r w:rsidR="00FC20FD">
        <w:t>1</w:t>
      </w:r>
      <w:r>
        <w:t xml:space="preserve"> </w:t>
      </w:r>
      <w:r w:rsidR="00FC20FD">
        <w:t>Scope</w:t>
      </w:r>
      <w:bookmarkEnd w:id="4"/>
    </w:p>
    <w:p w:rsidR="00174298" w:rsidRDefault="00174298" w:rsidP="00737D9B">
      <w:pPr>
        <w:spacing w:after="0"/>
      </w:pPr>
      <w:r>
        <w:t>This document covers the following:</w:t>
      </w:r>
    </w:p>
    <w:p w:rsidR="00174298" w:rsidRDefault="00FC20FD" w:rsidP="00737D9B">
      <w:pPr>
        <w:pStyle w:val="ListParagraph"/>
        <w:numPr>
          <w:ilvl w:val="0"/>
          <w:numId w:val="2"/>
        </w:numPr>
        <w:spacing w:after="0"/>
      </w:pPr>
      <w:r>
        <w:t>Installing STxP70 tool chain</w:t>
      </w:r>
      <w:r w:rsidR="00174298">
        <w:t>.</w:t>
      </w:r>
    </w:p>
    <w:p w:rsidR="00174298" w:rsidRDefault="00FC20FD" w:rsidP="00737D9B">
      <w:pPr>
        <w:pStyle w:val="ListParagraph"/>
        <w:numPr>
          <w:ilvl w:val="0"/>
          <w:numId w:val="2"/>
        </w:numPr>
        <w:spacing w:after="0"/>
      </w:pPr>
      <w:r>
        <w:t>Compiling ISP FW</w:t>
      </w:r>
      <w:r w:rsidR="00174298">
        <w:t>.</w:t>
      </w:r>
    </w:p>
    <w:p w:rsidR="00737D9B" w:rsidRDefault="00737D9B" w:rsidP="00737D9B">
      <w:pPr>
        <w:pStyle w:val="Heading2"/>
        <w:spacing w:before="0"/>
      </w:pPr>
    </w:p>
    <w:p w:rsidR="00737D9B" w:rsidRDefault="00737D9B" w:rsidP="00737D9B">
      <w:pPr>
        <w:spacing w:after="0"/>
      </w:pPr>
      <w:r>
        <w:t xml:space="preserve">Integrating ISP FW binaries into Android is not covered in this document. </w:t>
      </w:r>
    </w:p>
    <w:p w:rsidR="00737D9B" w:rsidRPr="00737D9B" w:rsidRDefault="00737D9B" w:rsidP="00737D9B">
      <w:pPr>
        <w:spacing w:after="0"/>
      </w:pPr>
      <w:r>
        <w:t>Refer /1/ for the same.</w:t>
      </w:r>
    </w:p>
    <w:p w:rsidR="00174298" w:rsidRDefault="00174298" w:rsidP="00174298">
      <w:pPr>
        <w:pStyle w:val="Heading2"/>
      </w:pPr>
      <w:bookmarkStart w:id="5" w:name="_Toc319322129"/>
      <w:r>
        <w:t>3.3 Audience</w:t>
      </w:r>
      <w:bookmarkEnd w:id="5"/>
    </w:p>
    <w:p w:rsidR="00174298" w:rsidRDefault="00174298" w:rsidP="00174298">
      <w:r>
        <w:t xml:space="preserve">The audience of this document is limited to engineers/developers working </w:t>
      </w:r>
      <w:r w:rsidR="00E43C78">
        <w:t>STE ISP FW</w:t>
      </w:r>
      <w:r>
        <w:t>.</w:t>
      </w:r>
    </w:p>
    <w:p w:rsidR="00174298" w:rsidRDefault="00174298" w:rsidP="00174298">
      <w:r>
        <w:br w:type="page"/>
      </w:r>
    </w:p>
    <w:p w:rsidR="00174298" w:rsidRDefault="00174298" w:rsidP="00174298">
      <w:pPr>
        <w:pStyle w:val="Heading1"/>
      </w:pPr>
      <w:bookmarkStart w:id="6" w:name="_Toc319322130"/>
      <w:r>
        <w:lastRenderedPageBreak/>
        <w:t>4. Environment Setup</w:t>
      </w:r>
      <w:bookmarkEnd w:id="6"/>
    </w:p>
    <w:p w:rsidR="001A050D" w:rsidRPr="001A050D" w:rsidRDefault="001A050D" w:rsidP="001A050D">
      <w:r>
        <w:t xml:space="preserve">STxP70 tool chain has been tested </w:t>
      </w:r>
      <w:r w:rsidR="002428AA">
        <w:t>for RHEL3, RHEL4</w:t>
      </w:r>
      <w:r w:rsidR="00C45C3D">
        <w:t xml:space="preserve"> and Ubuntu10.04.</w:t>
      </w:r>
    </w:p>
    <w:p w:rsidR="00174298" w:rsidRDefault="00174298" w:rsidP="00174298">
      <w:pPr>
        <w:pStyle w:val="Heading2"/>
      </w:pPr>
      <w:bookmarkStart w:id="7" w:name="_Toc319322131"/>
      <w:r>
        <w:t>4.1 SW Environment</w:t>
      </w:r>
      <w:bookmarkEnd w:id="7"/>
      <w:r>
        <w:t xml:space="preserve"> </w:t>
      </w:r>
    </w:p>
    <w:p w:rsidR="00174298" w:rsidRDefault="00D71A6A" w:rsidP="00D71A6A">
      <w:pPr>
        <w:spacing w:after="0"/>
      </w:pPr>
      <w:r>
        <w:t>Following are the SW requirements for installing STxP70 tool chain:</w:t>
      </w:r>
    </w:p>
    <w:p w:rsidR="00D71A6A" w:rsidRDefault="00D71A6A" w:rsidP="00D71A6A">
      <w:pPr>
        <w:pStyle w:val="ListParagraph"/>
        <w:numPr>
          <w:ilvl w:val="0"/>
          <w:numId w:val="11"/>
        </w:numPr>
        <w:spacing w:after="0"/>
      </w:pPr>
      <w:r>
        <w:t xml:space="preserve">A Linux machine with </w:t>
      </w:r>
      <w:proofErr w:type="spellStart"/>
      <w:r>
        <w:t>Ubuntu</w:t>
      </w:r>
      <w:proofErr w:type="spellEnd"/>
      <w:r>
        <w:t xml:space="preserve"> 10.04 / RHEL 4 or later.</w:t>
      </w:r>
    </w:p>
    <w:p w:rsidR="00D71A6A" w:rsidRDefault="00D71A6A" w:rsidP="00D71A6A">
      <w:pPr>
        <w:pStyle w:val="ListParagraph"/>
        <w:numPr>
          <w:ilvl w:val="0"/>
          <w:numId w:val="11"/>
        </w:numPr>
        <w:spacing w:after="0"/>
      </w:pPr>
      <w:r>
        <w:t xml:space="preserve">Python 2.4.3 on Linux machine. Needed for Pre/Post build </w:t>
      </w:r>
      <w:proofErr w:type="gramStart"/>
      <w:r>
        <w:t>scripts.</w:t>
      </w:r>
      <w:proofErr w:type="gramEnd"/>
    </w:p>
    <w:p w:rsidR="00174298" w:rsidRDefault="00D71A6A" w:rsidP="00D71A6A">
      <w:pPr>
        <w:pStyle w:val="ListParagraph"/>
        <w:numPr>
          <w:ilvl w:val="0"/>
          <w:numId w:val="3"/>
        </w:numPr>
        <w:spacing w:after="0"/>
      </w:pPr>
      <w:r>
        <w:t>STxP70 tool chain binary (Provided in SDK/Tools).</w:t>
      </w:r>
    </w:p>
    <w:p w:rsidR="0065015D" w:rsidRDefault="0065015D" w:rsidP="0065015D">
      <w:pPr>
        <w:pStyle w:val="ListParagraph"/>
        <w:spacing w:after="0"/>
      </w:pPr>
    </w:p>
    <w:p w:rsidR="0065015D" w:rsidRDefault="0020515B" w:rsidP="0020515B">
      <w:r>
        <w:t xml:space="preserve">STxP70 tool chain provides a GUI based interface for </w:t>
      </w:r>
      <w:r w:rsidR="0065015D">
        <w:t>c</w:t>
      </w:r>
      <w:r>
        <w:t xml:space="preserve">ompilation. </w:t>
      </w:r>
    </w:p>
    <w:p w:rsidR="007F222F" w:rsidRDefault="007F222F" w:rsidP="0020515B">
      <w:r>
        <w:t>ISP FW compilation needs Python 2.4.3 or later to be present for pre and post build process. Python can be installe</w:t>
      </w:r>
      <w:r w:rsidR="00FA758E">
        <w:t>d in /</w:t>
      </w:r>
      <w:proofErr w:type="spellStart"/>
      <w:r w:rsidR="00FA758E">
        <w:t>opt</w:t>
      </w:r>
      <w:proofErr w:type="spellEnd"/>
      <w:r w:rsidR="00FA758E">
        <w:t xml:space="preserve"> or any other location,</w:t>
      </w:r>
      <w:r>
        <w:t xml:space="preserve"> $PATH variable needs to be updated accordingly.</w:t>
      </w:r>
    </w:p>
    <w:p w:rsidR="00FC04C1" w:rsidRDefault="0020515B" w:rsidP="0020515B">
      <w:r>
        <w:t xml:space="preserve"> </w:t>
      </w:r>
    </w:p>
    <w:p w:rsidR="00FC04C1" w:rsidRDefault="00FC04C1">
      <w:r>
        <w:br w:type="page"/>
      </w:r>
    </w:p>
    <w:p w:rsidR="00D71A6A" w:rsidRDefault="00FC04C1" w:rsidP="00FC04C1">
      <w:pPr>
        <w:pStyle w:val="Heading1"/>
      </w:pPr>
      <w:bookmarkStart w:id="8" w:name="_Toc319322132"/>
      <w:r>
        <w:lastRenderedPageBreak/>
        <w:t>5.</w:t>
      </w:r>
      <w:r w:rsidR="002B1ECB">
        <w:t xml:space="preserve"> STxP70 </w:t>
      </w:r>
      <w:proofErr w:type="spellStart"/>
      <w:r w:rsidR="002B1ECB">
        <w:t>T</w:t>
      </w:r>
      <w:r w:rsidR="00044FDD">
        <w:t>ool</w:t>
      </w:r>
      <w:r w:rsidR="002B1ECB">
        <w:t>c</w:t>
      </w:r>
      <w:r w:rsidR="00044FDD">
        <w:t>hain</w:t>
      </w:r>
      <w:bookmarkEnd w:id="8"/>
      <w:proofErr w:type="spellEnd"/>
      <w:r w:rsidR="00044FDD">
        <w:t xml:space="preserve"> </w:t>
      </w:r>
    </w:p>
    <w:p w:rsidR="002B1ECB" w:rsidRPr="002B1ECB" w:rsidRDefault="00462D79" w:rsidP="002B1ECB">
      <w:r>
        <w:t xml:space="preserve">STxP70 tool chain </w:t>
      </w:r>
      <w:r w:rsidR="009F7392">
        <w:t xml:space="preserve">binary is </w:t>
      </w:r>
      <w:r>
        <w:t>available as part of SDK at ‘</w:t>
      </w:r>
      <w:r w:rsidRPr="009F7392">
        <w:rPr>
          <w:i/>
        </w:rPr>
        <w:t>SDK/Tools</w:t>
      </w:r>
      <w:r w:rsidR="009F7392" w:rsidRPr="009F7392">
        <w:rPr>
          <w:i/>
        </w:rPr>
        <w:t>/STxP70_Professional_Toolset_4_0_0.bin</w:t>
      </w:r>
      <w:r>
        <w:t>’</w:t>
      </w:r>
    </w:p>
    <w:p w:rsidR="00174298" w:rsidRDefault="00462D79" w:rsidP="00174298">
      <w:pPr>
        <w:pStyle w:val="Heading3"/>
      </w:pPr>
      <w:bookmarkStart w:id="9" w:name="_Toc319322133"/>
      <w:r>
        <w:t>5.1</w:t>
      </w:r>
      <w:r w:rsidR="00174298">
        <w:t xml:space="preserve"> </w:t>
      </w:r>
      <w:r w:rsidR="00901321">
        <w:t>Installation</w:t>
      </w:r>
      <w:bookmarkEnd w:id="9"/>
    </w:p>
    <w:p w:rsidR="00901321" w:rsidRDefault="00901321" w:rsidP="00174298">
      <w:pPr>
        <w:spacing w:after="0"/>
      </w:pPr>
      <w:r>
        <w:t>ST Workbench installer is available in SDK and may need additional packages on Linux machine to recognize installer in ‘</w:t>
      </w:r>
      <w:r>
        <w:rPr>
          <w:i/>
        </w:rPr>
        <w:t>.bin’</w:t>
      </w:r>
      <w:r>
        <w:t xml:space="preserve"> format.</w:t>
      </w:r>
    </w:p>
    <w:p w:rsidR="00901321" w:rsidRDefault="00901321" w:rsidP="00174298">
      <w:pPr>
        <w:spacing w:after="0"/>
      </w:pPr>
      <w:r>
        <w:t>Also one should have ‘</w:t>
      </w:r>
      <w:r>
        <w:rPr>
          <w:i/>
        </w:rPr>
        <w:t>root’</w:t>
      </w:r>
      <w:r>
        <w:t xml:space="preserve"> permissions to install the software.</w:t>
      </w:r>
    </w:p>
    <w:p w:rsidR="00B56E47" w:rsidRDefault="00B56E47" w:rsidP="00174298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/>
      </w:tblPr>
      <w:tblGrid>
        <w:gridCol w:w="9243"/>
      </w:tblGrid>
      <w:tr w:rsidR="00901321" w:rsidTr="00B56E47">
        <w:tc>
          <w:tcPr>
            <w:tcW w:w="9243" w:type="dxa"/>
            <w:shd w:val="pct20" w:color="auto" w:fill="auto"/>
          </w:tcPr>
          <w:p w:rsidR="00901321" w:rsidRDefault="00901321" w:rsidP="00174298">
            <w:r>
              <w:t>#ST Workbench installation</w:t>
            </w:r>
          </w:p>
          <w:p w:rsidR="00901321" w:rsidRDefault="00901321" w:rsidP="00174298"/>
          <w:p w:rsidR="00901321" w:rsidRDefault="00901321" w:rsidP="00901321">
            <w:pPr>
              <w:pStyle w:val="ListParagraph"/>
              <w:numPr>
                <w:ilvl w:val="0"/>
                <w:numId w:val="12"/>
              </w:numPr>
            </w:pPr>
            <w:r>
              <w:t>Change the permission of installer using following command</w:t>
            </w:r>
          </w:p>
          <w:p w:rsidR="00901321" w:rsidRDefault="00901321" w:rsidP="00901321">
            <w:pPr>
              <w:pStyle w:val="ListParagraph"/>
              <w:rPr>
                <w:b/>
              </w:rPr>
            </w:pPr>
            <w:r w:rsidRPr="00901321">
              <w:rPr>
                <w:b/>
              </w:rPr>
              <w:t xml:space="preserve">$ </w:t>
            </w:r>
            <w:proofErr w:type="spellStart"/>
            <w:r w:rsidRPr="00901321">
              <w:rPr>
                <w:b/>
              </w:rPr>
              <w:t>chmod</w:t>
            </w:r>
            <w:proofErr w:type="spellEnd"/>
            <w:r w:rsidRPr="00901321">
              <w:rPr>
                <w:b/>
              </w:rPr>
              <w:t xml:space="preserve"> 0777 STxP70_Professional_Toolset_4_0_0.bin</w:t>
            </w:r>
          </w:p>
          <w:p w:rsidR="00901321" w:rsidRPr="00901321" w:rsidRDefault="00901321" w:rsidP="00901321">
            <w:pPr>
              <w:pStyle w:val="ListParagraph"/>
              <w:rPr>
                <w:b/>
              </w:rPr>
            </w:pPr>
          </w:p>
          <w:p w:rsidR="00901321" w:rsidRDefault="00901321" w:rsidP="00901321">
            <w:pPr>
              <w:pStyle w:val="ListParagraph"/>
              <w:numPr>
                <w:ilvl w:val="0"/>
                <w:numId w:val="12"/>
              </w:numPr>
            </w:pPr>
            <w:r>
              <w:t>For installing tool run following command</w:t>
            </w:r>
          </w:p>
          <w:p w:rsidR="00901321" w:rsidRDefault="00901321" w:rsidP="00901321">
            <w:pPr>
              <w:pStyle w:val="ListParagraph"/>
              <w:rPr>
                <w:b/>
              </w:rPr>
            </w:pPr>
            <w:r>
              <w:t>$ ./</w:t>
            </w:r>
            <w:r w:rsidRPr="00901321">
              <w:rPr>
                <w:b/>
              </w:rPr>
              <w:t xml:space="preserve"> STxP70_Professional_Toolset_4_0_0.bin</w:t>
            </w:r>
          </w:p>
          <w:p w:rsidR="006A3D42" w:rsidRDefault="006A3D42" w:rsidP="00901321">
            <w:pPr>
              <w:pStyle w:val="ListParagraph"/>
            </w:pPr>
          </w:p>
          <w:p w:rsidR="006A3D42" w:rsidRDefault="006A3D42" w:rsidP="00901321">
            <w:pPr>
              <w:pStyle w:val="ListParagraph"/>
            </w:pPr>
            <w:r>
              <w:t>STxP70 installer provide graphical interface for installing the toolset. Now follow the on-screen instruction to complete the installation process.</w:t>
            </w:r>
          </w:p>
          <w:p w:rsidR="006A3D42" w:rsidRDefault="006A3D42" w:rsidP="00901321">
            <w:pPr>
              <w:pStyle w:val="ListParagraph"/>
            </w:pPr>
            <w:r>
              <w:t>Double clicking the .bin file will also provide the UI where user can select the path where to install the toolset</w:t>
            </w:r>
            <w:r w:rsidR="008E5DC8">
              <w:t xml:space="preserve"> (e.g. /opt)</w:t>
            </w:r>
            <w:r>
              <w:t>.</w:t>
            </w:r>
            <w:r w:rsidR="008E5DC8">
              <w:t xml:space="preserve"> </w:t>
            </w:r>
          </w:p>
          <w:p w:rsidR="006A3D42" w:rsidRDefault="006A3D42" w:rsidP="00901321">
            <w:pPr>
              <w:pStyle w:val="ListParagraph"/>
            </w:pPr>
          </w:p>
          <w:p w:rsidR="00901321" w:rsidRDefault="001C0EB3" w:rsidP="001C0EB3">
            <w:r>
              <w:t>#Installing Python</w:t>
            </w:r>
          </w:p>
          <w:p w:rsidR="001C0EB3" w:rsidRDefault="001C0EB3" w:rsidP="001C0EB3">
            <w:pPr>
              <w:pStyle w:val="ListParagraph"/>
              <w:numPr>
                <w:ilvl w:val="0"/>
                <w:numId w:val="14"/>
              </w:numPr>
            </w:pPr>
            <w:r>
              <w:t>By default Python is included in almost all version of Linux. Check for the installed version of Python using following command</w:t>
            </w:r>
          </w:p>
          <w:p w:rsidR="001C0EB3" w:rsidRDefault="001C0EB3" w:rsidP="001C0EB3">
            <w:pPr>
              <w:pStyle w:val="ListParagraph"/>
              <w:rPr>
                <w:b/>
              </w:rPr>
            </w:pPr>
            <w:r w:rsidRPr="001C0EB3">
              <w:rPr>
                <w:b/>
              </w:rPr>
              <w:t>$ python  -V</w:t>
            </w:r>
          </w:p>
          <w:p w:rsidR="001C0EB3" w:rsidRDefault="001C0EB3" w:rsidP="001C0EB3">
            <w:pPr>
              <w:pStyle w:val="ListParagraph"/>
              <w:rPr>
                <w:b/>
              </w:rPr>
            </w:pPr>
          </w:p>
          <w:p w:rsidR="009575F7" w:rsidRDefault="009575F7" w:rsidP="001C0EB3">
            <w:pPr>
              <w:pStyle w:val="ListParagraph"/>
              <w:rPr>
                <w:b/>
              </w:rPr>
            </w:pPr>
            <w:r>
              <w:rPr>
                <w:b/>
              </w:rPr>
              <w:t>Note:</w:t>
            </w:r>
          </w:p>
          <w:p w:rsidR="009575F7" w:rsidRPr="009575F7" w:rsidRDefault="009575F7" w:rsidP="001C0EB3">
            <w:pPr>
              <w:pStyle w:val="ListParagraph"/>
            </w:pPr>
            <w:r>
              <w:t>Python version should be equal to or above v2.4.3.</w:t>
            </w:r>
          </w:p>
          <w:p w:rsidR="001C0EB3" w:rsidRPr="00901321" w:rsidRDefault="001C0EB3" w:rsidP="009575F7"/>
        </w:tc>
      </w:tr>
    </w:tbl>
    <w:p w:rsidR="00901321" w:rsidRDefault="00901321" w:rsidP="00174298">
      <w:pPr>
        <w:spacing w:after="0"/>
      </w:pPr>
    </w:p>
    <w:p w:rsidR="00AB04E9" w:rsidRDefault="00AB04E9" w:rsidP="00AB04E9">
      <w:pPr>
        <w:pStyle w:val="Heading2"/>
      </w:pPr>
      <w:bookmarkStart w:id="10" w:name="_Toc319322134"/>
      <w:r>
        <w:t>5.2 ISP FW Compilation</w:t>
      </w:r>
      <w:bookmarkEnd w:id="10"/>
    </w:p>
    <w:p w:rsidR="008E4318" w:rsidRDefault="008E4318" w:rsidP="00755A73">
      <w:pPr>
        <w:spacing w:after="0"/>
      </w:pPr>
      <w:r>
        <w:t>This section provides the steps for compiling ISP FW source code using ST Workbench installed using above steps.</w:t>
      </w:r>
      <w:r w:rsidR="00755A73">
        <w:t xml:space="preserve"> </w:t>
      </w:r>
    </w:p>
    <w:p w:rsidR="00755A73" w:rsidRPr="00755A73" w:rsidRDefault="00755A73" w:rsidP="00755A73">
      <w:pPr>
        <w:spacing w:after="0"/>
      </w:pPr>
      <w:r>
        <w:t>Ass</w:t>
      </w:r>
      <w:r w:rsidR="00115FB3">
        <w:t>uming the toolset is installed at</w:t>
      </w:r>
      <w:r>
        <w:t xml:space="preserve"> ‘</w:t>
      </w:r>
      <w:r>
        <w:rPr>
          <w:i/>
        </w:rPr>
        <w:t>/opt’</w:t>
      </w:r>
      <w:r w:rsidR="00115FB3">
        <w:rPr>
          <w:i/>
        </w:rPr>
        <w:t xml:space="preserve"> </w:t>
      </w:r>
      <w:r w:rsidR="00115FB3">
        <w:t>path.</w:t>
      </w:r>
    </w:p>
    <w:p w:rsidR="00536026" w:rsidRDefault="00536026" w:rsidP="00536026">
      <w:pPr>
        <w:pStyle w:val="Heading3"/>
      </w:pPr>
      <w:bookmarkStart w:id="11" w:name="_Toc319322135"/>
      <w:r>
        <w:t>5.2.1</w:t>
      </w:r>
      <w:r w:rsidR="003B21DD">
        <w:t xml:space="preserve"> Exporting Path variables</w:t>
      </w:r>
      <w:bookmarkEnd w:id="11"/>
    </w:p>
    <w:p w:rsidR="003B21DD" w:rsidRDefault="003B21DD" w:rsidP="003B21DD">
      <w:r>
        <w:t>To launch newly installed STxP70 Workbench, we need to export/set some path variable a</w:t>
      </w:r>
      <w:r w:rsidR="001E147E">
        <w:t>s per installed path of toolset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20" w:color="auto" w:fill="auto"/>
        <w:tblLook w:val="04A0"/>
      </w:tblPr>
      <w:tblGrid>
        <w:gridCol w:w="9243"/>
      </w:tblGrid>
      <w:tr w:rsidR="003B21DD" w:rsidTr="00772C4B">
        <w:tc>
          <w:tcPr>
            <w:tcW w:w="9243" w:type="dxa"/>
            <w:shd w:val="pct20" w:color="auto" w:fill="auto"/>
          </w:tcPr>
          <w:p w:rsidR="003B21DD" w:rsidRDefault="003B21DD" w:rsidP="003B21DD">
            <w:r>
              <w:t>#Exporting/Setting path variables</w:t>
            </w:r>
          </w:p>
          <w:p w:rsidR="00795156" w:rsidRDefault="00795156" w:rsidP="003B21DD"/>
          <w:p w:rsidR="00795156" w:rsidRDefault="00795156" w:rsidP="00795156">
            <w:r>
              <w:t>SELECTED_PATH=/opt</w:t>
            </w:r>
          </w:p>
          <w:p w:rsidR="00795156" w:rsidRDefault="00795156" w:rsidP="00795156">
            <w:r>
              <w:t>export SELECTED_PATH</w:t>
            </w:r>
          </w:p>
          <w:p w:rsidR="00795156" w:rsidRDefault="00795156" w:rsidP="00795156"/>
          <w:p w:rsidR="00795156" w:rsidRDefault="00795156" w:rsidP="00795156">
            <w:r>
              <w:t>source $SELECTED_PATH/STM/STxP70_Toolset_4.0.0/bin/STxP70.sh</w:t>
            </w:r>
          </w:p>
          <w:p w:rsidR="00795156" w:rsidRDefault="00795156" w:rsidP="00795156">
            <w:r>
              <w:t>SX=$SELECTED_PATH/STM/STxP70_Toolset_4.0.0</w:t>
            </w:r>
          </w:p>
          <w:p w:rsidR="00795156" w:rsidRDefault="00795156" w:rsidP="00795156">
            <w:r>
              <w:t>export SX</w:t>
            </w:r>
          </w:p>
          <w:p w:rsidR="00D50A73" w:rsidRDefault="00D50A73" w:rsidP="00795156"/>
          <w:p w:rsidR="00795156" w:rsidRDefault="00795156" w:rsidP="00795156">
            <w:r>
              <w:lastRenderedPageBreak/>
              <w:t>STWORKBENCH=$SELECTED_PATH/STM/STxP70_Toolset_4.0.0/</w:t>
            </w:r>
            <w:proofErr w:type="spellStart"/>
            <w:r>
              <w:t>stworkbench</w:t>
            </w:r>
            <w:proofErr w:type="spellEnd"/>
          </w:p>
          <w:p w:rsidR="003B21DD" w:rsidRDefault="00795156" w:rsidP="00795156">
            <w:r>
              <w:t>export STWORKBENCH</w:t>
            </w:r>
          </w:p>
        </w:tc>
      </w:tr>
    </w:tbl>
    <w:p w:rsidR="003B21DD" w:rsidRDefault="003B21DD" w:rsidP="003B21DD"/>
    <w:p w:rsidR="00772C4B" w:rsidRPr="003B21DD" w:rsidRDefault="00772C4B" w:rsidP="00772C4B">
      <w:pPr>
        <w:pStyle w:val="Heading3"/>
      </w:pPr>
      <w:bookmarkStart w:id="12" w:name="_Toc319322136"/>
      <w:r>
        <w:t>5.2.2 Launch / Build</w:t>
      </w:r>
      <w:bookmarkEnd w:id="12"/>
      <w:r>
        <w:t xml:space="preserve"> </w:t>
      </w:r>
    </w:p>
    <w:p w:rsidR="000D05F9" w:rsidRPr="000D05F9" w:rsidRDefault="000D05F9" w:rsidP="000D05F9">
      <w:pPr>
        <w:spacing w:after="0"/>
      </w:pPr>
      <w:r w:rsidRPr="000D05F9">
        <w:t xml:space="preserve">Go to installed location of </w:t>
      </w:r>
      <w:proofErr w:type="spellStart"/>
      <w:r w:rsidRPr="000D05F9">
        <w:t>STWorkbench</w:t>
      </w:r>
      <w:proofErr w:type="spellEnd"/>
      <w:r w:rsidRPr="000D05F9">
        <w:t xml:space="preserve"> and launch using following</w:t>
      </w:r>
    </w:p>
    <w:p w:rsidR="000D05F9" w:rsidRDefault="000D05F9" w:rsidP="000D05F9">
      <w:pPr>
        <w:spacing w:after="0"/>
      </w:pPr>
    </w:p>
    <w:p w:rsidR="000D05F9" w:rsidRPr="000D05F9" w:rsidRDefault="000D05F9" w:rsidP="000D05F9">
      <w:pPr>
        <w:spacing w:after="0"/>
        <w:ind w:left="720"/>
        <w:rPr>
          <w:i/>
        </w:rPr>
      </w:pPr>
      <w:proofErr w:type="spellStart"/>
      <w:proofErr w:type="gramStart"/>
      <w:r w:rsidRPr="000D05F9">
        <w:rPr>
          <w:i/>
        </w:rPr>
        <w:t>cd</w:t>
      </w:r>
      <w:proofErr w:type="spellEnd"/>
      <w:proofErr w:type="gramEnd"/>
      <w:r w:rsidRPr="000D05F9">
        <w:rPr>
          <w:i/>
        </w:rPr>
        <w:t xml:space="preserve"> /opt/STM/STxP70_Toolset_4.0.0/</w:t>
      </w:r>
      <w:proofErr w:type="spellStart"/>
      <w:r w:rsidRPr="000D05F9">
        <w:rPr>
          <w:i/>
        </w:rPr>
        <w:t>stworkbench</w:t>
      </w:r>
      <w:proofErr w:type="spellEnd"/>
      <w:r w:rsidRPr="000D05F9">
        <w:rPr>
          <w:i/>
        </w:rPr>
        <w:t>/</w:t>
      </w:r>
    </w:p>
    <w:p w:rsidR="000D05F9" w:rsidRPr="000D05F9" w:rsidRDefault="000D05F9" w:rsidP="000D05F9">
      <w:pPr>
        <w:spacing w:after="0"/>
        <w:ind w:left="720"/>
        <w:rPr>
          <w:i/>
        </w:rPr>
      </w:pPr>
      <w:proofErr w:type="gramStart"/>
      <w:r w:rsidRPr="000D05F9">
        <w:rPr>
          <w:i/>
        </w:rPr>
        <w:t>./</w:t>
      </w:r>
      <w:proofErr w:type="spellStart"/>
      <w:proofErr w:type="gramEnd"/>
      <w:r w:rsidRPr="000D05F9">
        <w:rPr>
          <w:i/>
        </w:rPr>
        <w:t>stworkbench</w:t>
      </w:r>
      <w:proofErr w:type="spellEnd"/>
    </w:p>
    <w:p w:rsidR="000D05F9" w:rsidRDefault="000D05F9" w:rsidP="000D05F9">
      <w:pPr>
        <w:spacing w:after="0"/>
      </w:pPr>
    </w:p>
    <w:p w:rsidR="000D05F9" w:rsidRDefault="000D05F9" w:rsidP="000D05F9">
      <w:pPr>
        <w:spacing w:after="0"/>
      </w:pPr>
      <w:r>
        <w:t>These commands will provide a GUI for setting up the workspace. This will open a window and user can select any folder for creating the workspace.</w:t>
      </w:r>
    </w:p>
    <w:p w:rsidR="000D05F9" w:rsidRDefault="000D05F9" w:rsidP="000D05F9">
      <w:pPr>
        <w:spacing w:after="0"/>
      </w:pPr>
      <w:r>
        <w:t>It is advisable to create a separate folder for the build and select it as the workspace</w:t>
      </w:r>
    </w:p>
    <w:p w:rsidR="000D05F9" w:rsidRDefault="000D05F9" w:rsidP="000D05F9">
      <w:pPr>
        <w:spacing w:after="0"/>
      </w:pPr>
    </w:p>
    <w:p w:rsidR="000D05F9" w:rsidRDefault="000D05F9" w:rsidP="000D05F9">
      <w:pPr>
        <w:spacing w:after="0"/>
      </w:pPr>
      <w:r>
        <w:t xml:space="preserve">The following image displays how to set the workspace. The </w:t>
      </w:r>
      <w:r w:rsidRPr="00A7703A">
        <w:rPr>
          <w:b/>
        </w:rPr>
        <w:t>&lt;PATH&gt;</w:t>
      </w:r>
      <w:r>
        <w:t xml:space="preserve"> can be replaced with the actual path containing the workspace.</w:t>
      </w:r>
    </w:p>
    <w:p w:rsidR="000D05F9" w:rsidRDefault="000D05F9" w:rsidP="000D05F9">
      <w:pPr>
        <w:spacing w:after="0"/>
      </w:pPr>
      <w:r>
        <w:rPr>
          <w:noProof/>
        </w:rPr>
        <w:drawing>
          <wp:inline distT="0" distB="0" distL="0" distR="0">
            <wp:extent cx="5200650" cy="24003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5F9" w:rsidRDefault="000D05F9" w:rsidP="000D05F9">
      <w:pPr>
        <w:spacing w:after="0"/>
      </w:pPr>
    </w:p>
    <w:p w:rsidR="000D05F9" w:rsidRDefault="00A20148" w:rsidP="000D05F9">
      <w:pPr>
        <w:spacing w:after="0"/>
      </w:pPr>
      <w:r>
        <w:t>If the workspace is a newly created one, then we need to import existing ISP FW project into the workspace.</w:t>
      </w:r>
    </w:p>
    <w:p w:rsidR="00A20148" w:rsidRDefault="00A20148" w:rsidP="000D05F9">
      <w:pPr>
        <w:spacing w:after="0"/>
      </w:pPr>
      <w:r>
        <w:t>ISP FW project files are part of ISP FW release, this make it easy to import the FW directly into ST Workbench tool.</w:t>
      </w:r>
    </w:p>
    <w:p w:rsidR="00A20148" w:rsidRDefault="00A20148" w:rsidP="000D05F9">
      <w:pPr>
        <w:spacing w:after="0"/>
      </w:pPr>
      <w:r>
        <w:t xml:space="preserve">For importing </w:t>
      </w:r>
      <w:proofErr w:type="gramStart"/>
      <w:r>
        <w:t>a</w:t>
      </w:r>
      <w:proofErr w:type="gramEnd"/>
      <w:r>
        <w:t xml:space="preserve"> existing project select </w:t>
      </w:r>
      <w:r w:rsidRPr="00A20148">
        <w:rPr>
          <w:b/>
        </w:rPr>
        <w:t>‘File-&gt; Import’</w:t>
      </w:r>
      <w:r>
        <w:rPr>
          <w:b/>
        </w:rPr>
        <w:t xml:space="preserve"> </w:t>
      </w:r>
      <w:r>
        <w:t>this will open following dialog box.</w:t>
      </w:r>
    </w:p>
    <w:p w:rsidR="00A20148" w:rsidRDefault="00A20148" w:rsidP="000D05F9">
      <w:pPr>
        <w:spacing w:after="0"/>
      </w:pPr>
      <w:r>
        <w:rPr>
          <w:b/>
          <w:noProof/>
        </w:rPr>
        <w:lastRenderedPageBreak/>
        <w:drawing>
          <wp:inline distT="0" distB="0" distL="0" distR="0">
            <wp:extent cx="4762500" cy="4972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148" w:rsidRDefault="00A20148" w:rsidP="000D05F9">
      <w:pPr>
        <w:spacing w:after="0"/>
      </w:pPr>
    </w:p>
    <w:p w:rsidR="00A20148" w:rsidRDefault="005923A5" w:rsidP="000D05F9">
      <w:pPr>
        <w:spacing w:after="0"/>
      </w:pPr>
      <w:r>
        <w:t>Select ‘</w:t>
      </w:r>
      <w:r w:rsidR="00421530" w:rsidRPr="00421530">
        <w:rPr>
          <w:b/>
        </w:rPr>
        <w:t>General-&gt;</w:t>
      </w:r>
      <w:r w:rsidRPr="006E2699">
        <w:rPr>
          <w:b/>
        </w:rPr>
        <w:t>Existing Projects into Workspace</w:t>
      </w:r>
      <w:r>
        <w:rPr>
          <w:b/>
        </w:rPr>
        <w:t xml:space="preserve">’ </w:t>
      </w:r>
      <w:r>
        <w:t xml:space="preserve">option </w:t>
      </w:r>
      <w:r w:rsidR="00421530">
        <w:t>and click ‘</w:t>
      </w:r>
      <w:r w:rsidR="00421530" w:rsidRPr="00421530">
        <w:rPr>
          <w:b/>
        </w:rPr>
        <w:t>Next</w:t>
      </w:r>
      <w:r w:rsidR="00421530">
        <w:rPr>
          <w:b/>
        </w:rPr>
        <w:t xml:space="preserve">’ </w:t>
      </w:r>
      <w:r w:rsidR="00421530">
        <w:t>button. This will open following window</w:t>
      </w:r>
    </w:p>
    <w:p w:rsidR="00421530" w:rsidRDefault="00421530" w:rsidP="000D05F9">
      <w:pPr>
        <w:spacing w:after="0"/>
      </w:pPr>
      <w:r>
        <w:t>In the ‘</w:t>
      </w:r>
      <w:r w:rsidRPr="00421530">
        <w:rPr>
          <w:b/>
        </w:rPr>
        <w:t>Select root directory</w:t>
      </w:r>
      <w:r>
        <w:t xml:space="preserve">’ option, provide the path </w:t>
      </w:r>
      <w:proofErr w:type="spellStart"/>
      <w:r>
        <w:t>upto</w:t>
      </w:r>
      <w:proofErr w:type="spellEnd"/>
      <w:r>
        <w:t xml:space="preserve"> ‘</w:t>
      </w:r>
      <w:proofErr w:type="spellStart"/>
      <w:r w:rsidRPr="00421530">
        <w:rPr>
          <w:b/>
        </w:rPr>
        <w:t>PictorProject</w:t>
      </w:r>
      <w:proofErr w:type="spellEnd"/>
      <w:r>
        <w:t>’ folder.</w:t>
      </w:r>
    </w:p>
    <w:p w:rsidR="00421530" w:rsidRDefault="00421530" w:rsidP="00421530">
      <w:pPr>
        <w:spacing w:after="0"/>
      </w:pPr>
      <w:r>
        <w:t>“</w:t>
      </w:r>
      <w:r w:rsidRPr="00421530">
        <w:rPr>
          <w:b/>
        </w:rPr>
        <w:t>Copy projects into workspace</w:t>
      </w:r>
      <w:r>
        <w:t xml:space="preserve">” check box at the bottom of the window can be checked to copy the whole folder structure of </w:t>
      </w:r>
      <w:proofErr w:type="spellStart"/>
      <w:r>
        <w:t>PictorProject</w:t>
      </w:r>
      <w:proofErr w:type="spellEnd"/>
      <w:r>
        <w:t xml:space="preserve"> to the workspace.</w:t>
      </w:r>
    </w:p>
    <w:p w:rsidR="00421530" w:rsidRDefault="00421530" w:rsidP="00421530">
      <w:pPr>
        <w:spacing w:after="0"/>
      </w:pPr>
      <w:r>
        <w:t>Click ‘</w:t>
      </w:r>
      <w:r w:rsidRPr="00421530">
        <w:rPr>
          <w:b/>
        </w:rPr>
        <w:t>Next</w:t>
      </w:r>
      <w:r>
        <w:t>’ button, this will a single entry under ‘</w:t>
      </w:r>
      <w:r w:rsidRPr="00421530">
        <w:rPr>
          <w:b/>
        </w:rPr>
        <w:t>Projects</w:t>
      </w:r>
      <w:r>
        <w:t xml:space="preserve">’. </w:t>
      </w:r>
    </w:p>
    <w:p w:rsidR="00421530" w:rsidRDefault="00421530" w:rsidP="00421530">
      <w:pPr>
        <w:spacing w:after="0"/>
      </w:pPr>
      <w:r>
        <w:t>Select this entry and click ‘</w:t>
      </w:r>
      <w:r w:rsidRPr="00421530">
        <w:rPr>
          <w:b/>
        </w:rPr>
        <w:t>Finish</w:t>
      </w:r>
      <w:r>
        <w:t>’ button.</w:t>
      </w:r>
    </w:p>
    <w:p w:rsidR="00421530" w:rsidRDefault="00421530" w:rsidP="00421530">
      <w:pPr>
        <w:spacing w:after="0"/>
      </w:pPr>
    </w:p>
    <w:p w:rsidR="00421530" w:rsidRDefault="00B83D72" w:rsidP="00421530">
      <w:pPr>
        <w:spacing w:after="0"/>
      </w:pPr>
      <w:r>
        <w:t xml:space="preserve">After these steps, whole </w:t>
      </w:r>
      <w:proofErr w:type="spellStart"/>
      <w:r>
        <w:t>PictorProject</w:t>
      </w:r>
      <w:proofErr w:type="spellEnd"/>
      <w:r>
        <w:t xml:space="preserve"> will be imported to ST Workbench. ST Workbench is eclipse based tool and can be used modify/edit and compile the ISP FW source code.</w:t>
      </w:r>
    </w:p>
    <w:p w:rsidR="00B83D72" w:rsidRPr="00421530" w:rsidRDefault="00B83D72" w:rsidP="00421530">
      <w:pPr>
        <w:spacing w:after="0"/>
      </w:pPr>
    </w:p>
    <w:p w:rsidR="00421530" w:rsidRDefault="00421530" w:rsidP="000D05F9">
      <w:pPr>
        <w:spacing w:after="0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000625" cy="523875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53" w:rsidRDefault="00FD1653" w:rsidP="000D05F9">
      <w:pPr>
        <w:spacing w:after="0"/>
      </w:pPr>
    </w:p>
    <w:p w:rsidR="00FD1653" w:rsidRDefault="00217EA1" w:rsidP="000D05F9">
      <w:pPr>
        <w:spacing w:after="0"/>
      </w:pPr>
      <w:r>
        <w:t xml:space="preserve">After the code is imported to </w:t>
      </w:r>
      <w:r w:rsidR="00173632">
        <w:t xml:space="preserve">the workspace, ST Workbench will show the </w:t>
      </w:r>
      <w:proofErr w:type="spellStart"/>
      <w:r w:rsidR="00173632">
        <w:t>PictorProject</w:t>
      </w:r>
      <w:proofErr w:type="spellEnd"/>
      <w:r w:rsidR="00173632">
        <w:t xml:space="preserve"> directory structure in left of Workbench as shown below</w:t>
      </w:r>
    </w:p>
    <w:p w:rsidR="00173632" w:rsidRDefault="00173632" w:rsidP="000D05F9">
      <w:pPr>
        <w:spacing w:after="0"/>
      </w:pPr>
      <w:r>
        <w:rPr>
          <w:noProof/>
        </w:rPr>
        <w:drawing>
          <wp:inline distT="0" distB="0" distL="0" distR="0">
            <wp:extent cx="3152775" cy="1743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632" w:rsidRDefault="00173632" w:rsidP="000D05F9">
      <w:pPr>
        <w:spacing w:after="0"/>
      </w:pPr>
    </w:p>
    <w:p w:rsidR="00173632" w:rsidRDefault="00EC475A" w:rsidP="000D05F9">
      <w:pPr>
        <w:spacing w:after="0"/>
      </w:pPr>
      <w:r>
        <w:t>ISP FW can be build by selecting ‘</w:t>
      </w:r>
      <w:r w:rsidRPr="00EC475A">
        <w:rPr>
          <w:b/>
        </w:rPr>
        <w:t>Project-&gt; Build Project</w:t>
      </w:r>
      <w:r>
        <w:t>’ menu option.</w:t>
      </w:r>
    </w:p>
    <w:p w:rsidR="00482200" w:rsidRDefault="00482200" w:rsidP="000D05F9">
      <w:pPr>
        <w:spacing w:after="0"/>
      </w:pPr>
      <w:r>
        <w:t>On successful build, ISP FW binaries would get created in ‘</w:t>
      </w:r>
      <w:proofErr w:type="spellStart"/>
      <w:r>
        <w:rPr>
          <w:b/>
        </w:rPr>
        <w:t>isp_fw</w:t>
      </w:r>
      <w:proofErr w:type="spellEnd"/>
      <w:r>
        <w:rPr>
          <w:b/>
        </w:rPr>
        <w:t xml:space="preserve">/Binaries’ </w:t>
      </w:r>
      <w:r>
        <w:t xml:space="preserve">folder. </w:t>
      </w:r>
    </w:p>
    <w:p w:rsidR="00DC1CD4" w:rsidRDefault="00DC1CD4" w:rsidP="00DC1CD4">
      <w:pPr>
        <w:spacing w:after="0"/>
      </w:pPr>
      <w:r>
        <w:t>It generates four binaries under ‘</w:t>
      </w:r>
      <w:proofErr w:type="spellStart"/>
      <w:r w:rsidRPr="008D675C">
        <w:t>isp_fw</w:t>
      </w:r>
      <w:proofErr w:type="spellEnd"/>
      <w:r w:rsidRPr="008D675C">
        <w:t>\Binaries</w:t>
      </w:r>
      <w:r>
        <w:t>’:</w:t>
      </w:r>
    </w:p>
    <w:p w:rsidR="00DC1CD4" w:rsidRDefault="00DC1CD4" w:rsidP="00DC1CD4">
      <w:pPr>
        <w:pStyle w:val="ListParagraph"/>
        <w:numPr>
          <w:ilvl w:val="0"/>
          <w:numId w:val="4"/>
        </w:numPr>
        <w:spacing w:after="0"/>
      </w:pPr>
      <w:r w:rsidRPr="008D675C">
        <w:t>Isp8500_primary_fw_data.bin</w:t>
      </w:r>
    </w:p>
    <w:p w:rsidR="00DC1CD4" w:rsidRDefault="00DC1CD4" w:rsidP="00DC1CD4">
      <w:pPr>
        <w:pStyle w:val="ListParagraph"/>
        <w:numPr>
          <w:ilvl w:val="0"/>
          <w:numId w:val="4"/>
        </w:numPr>
        <w:spacing w:after="0"/>
      </w:pPr>
      <w:r w:rsidRPr="008D675C">
        <w:t>Isp8500_primary_fw_ext.bin</w:t>
      </w:r>
    </w:p>
    <w:p w:rsidR="00DC1CD4" w:rsidRDefault="00DC1CD4" w:rsidP="00DC1CD4">
      <w:pPr>
        <w:pStyle w:val="ListParagraph"/>
        <w:numPr>
          <w:ilvl w:val="0"/>
          <w:numId w:val="4"/>
        </w:numPr>
        <w:spacing w:after="0"/>
      </w:pPr>
      <w:r w:rsidRPr="008D675C">
        <w:lastRenderedPageBreak/>
        <w:t>Isp8500_primary_fw_ext_ddr.bin</w:t>
      </w:r>
    </w:p>
    <w:p w:rsidR="00DC1CD4" w:rsidRDefault="00DC1CD4" w:rsidP="00DC1CD4">
      <w:pPr>
        <w:pStyle w:val="ListParagraph"/>
        <w:numPr>
          <w:ilvl w:val="0"/>
          <w:numId w:val="4"/>
        </w:numPr>
        <w:spacing w:after="0"/>
      </w:pPr>
      <w:r w:rsidRPr="008D675C">
        <w:t>Isp8500_primary_fw_split.bin</w:t>
      </w:r>
    </w:p>
    <w:p w:rsidR="00DC1CD4" w:rsidRDefault="00DC1CD4" w:rsidP="00DC1CD4">
      <w:pPr>
        <w:spacing w:after="0"/>
      </w:pPr>
      <w:r>
        <w:t>Three headers file under ‘</w:t>
      </w:r>
      <w:proofErr w:type="spellStart"/>
      <w:r w:rsidRPr="008D675C">
        <w:t>isp_fw</w:t>
      </w:r>
      <w:proofErr w:type="spellEnd"/>
      <w:r w:rsidRPr="008D675C">
        <w:t>\</w:t>
      </w:r>
      <w:proofErr w:type="spellStart"/>
      <w:r w:rsidRPr="008D675C">
        <w:t>DeviceParams</w:t>
      </w:r>
      <w:proofErr w:type="spellEnd"/>
      <w:r>
        <w:t>’:</w:t>
      </w:r>
    </w:p>
    <w:p w:rsidR="00DC1CD4" w:rsidRDefault="00DC1CD4" w:rsidP="00DC1CD4">
      <w:pPr>
        <w:pStyle w:val="ListParagraph"/>
        <w:numPr>
          <w:ilvl w:val="0"/>
          <w:numId w:val="4"/>
        </w:numPr>
        <w:spacing w:after="0"/>
      </w:pPr>
      <w:proofErr w:type="spellStart"/>
      <w:r w:rsidRPr="008D675C">
        <w:t>baseline.h</w:t>
      </w:r>
      <w:proofErr w:type="spellEnd"/>
    </w:p>
    <w:p w:rsidR="00DC1CD4" w:rsidRDefault="00DC1CD4" w:rsidP="00DC1CD4">
      <w:pPr>
        <w:pStyle w:val="ListParagraph"/>
        <w:numPr>
          <w:ilvl w:val="0"/>
          <w:numId w:val="4"/>
        </w:numPr>
        <w:spacing w:after="0"/>
      </w:pPr>
      <w:proofErr w:type="spellStart"/>
      <w:r w:rsidRPr="008D675C">
        <w:t>extension.h</w:t>
      </w:r>
      <w:proofErr w:type="spellEnd"/>
    </w:p>
    <w:p w:rsidR="00DC1CD4" w:rsidRDefault="00DC1CD4" w:rsidP="00DC1CD4">
      <w:pPr>
        <w:pStyle w:val="ListParagraph"/>
        <w:numPr>
          <w:ilvl w:val="0"/>
          <w:numId w:val="4"/>
        </w:numPr>
        <w:spacing w:after="0"/>
      </w:pPr>
      <w:proofErr w:type="spellStart"/>
      <w:r w:rsidRPr="008D675C">
        <w:t>nvm.h</w:t>
      </w:r>
      <w:proofErr w:type="spellEnd"/>
    </w:p>
    <w:p w:rsidR="00DC1CD4" w:rsidRDefault="00DC1CD4" w:rsidP="000D05F9">
      <w:pPr>
        <w:spacing w:after="0"/>
      </w:pPr>
    </w:p>
    <w:p w:rsidR="00DC1CD4" w:rsidRDefault="00DC1CD4" w:rsidP="000D05F9">
      <w:pPr>
        <w:spacing w:after="0"/>
      </w:pPr>
      <w:r>
        <w:t>These binaries then needs to be integrated in Android build process. Refer /1/ for further information</w:t>
      </w:r>
      <w:r w:rsidR="000065CF">
        <w:t>.</w:t>
      </w:r>
    </w:p>
    <w:p w:rsidR="00993748" w:rsidRDefault="00993748">
      <w:r>
        <w:br w:type="page"/>
      </w:r>
    </w:p>
    <w:p w:rsidR="00993748" w:rsidRDefault="00993748" w:rsidP="00993748">
      <w:pPr>
        <w:pStyle w:val="Heading1"/>
      </w:pPr>
      <w:bookmarkStart w:id="13" w:name="_Toc319322137"/>
      <w:r>
        <w:lastRenderedPageBreak/>
        <w:t>6. Open Points</w:t>
      </w:r>
      <w:bookmarkEnd w:id="13"/>
    </w:p>
    <w:p w:rsidR="00C92C40" w:rsidRPr="00C92C40" w:rsidRDefault="00C92C40" w:rsidP="00C92C40"/>
    <w:p w:rsidR="00993748" w:rsidRPr="00993748" w:rsidRDefault="00D16AF0" w:rsidP="00993748">
      <w:r>
        <w:t>1. Steps to be verified against the latest environment.</w:t>
      </w:r>
    </w:p>
    <w:sectPr w:rsidR="00993748" w:rsidRPr="00993748" w:rsidSect="00B56E47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F62" w:rsidRDefault="004F2F62" w:rsidP="009E458E">
      <w:pPr>
        <w:spacing w:after="0" w:line="240" w:lineRule="auto"/>
      </w:pPr>
      <w:r>
        <w:separator/>
      </w:r>
    </w:p>
  </w:endnote>
  <w:endnote w:type="continuationSeparator" w:id="0">
    <w:p w:rsidR="004F2F62" w:rsidRDefault="004F2F62" w:rsidP="009E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11910"/>
      <w:docPartObj>
        <w:docPartGallery w:val="Page Numbers (Bottom of Page)"/>
        <w:docPartUnique/>
      </w:docPartObj>
    </w:sdtPr>
    <w:sdtContent>
      <w:p w:rsidR="00360949" w:rsidRDefault="00360949" w:rsidP="00360949">
        <w:pPr>
          <w:pStyle w:val="Footer"/>
        </w:pPr>
        <w:r w:rsidRPr="00931BAD">
          <w:t xml:space="preserve">U8500 Compiling </w:t>
        </w:r>
      </w:p>
      <w:p w:rsidR="00A12622" w:rsidRDefault="00360949" w:rsidP="00360949">
        <w:pPr>
          <w:pStyle w:val="Footer"/>
        </w:pPr>
        <w:r>
          <w:t>STxP70 ISP Firmware code v0.1</w:t>
        </w:r>
        <w:r>
          <w:tab/>
        </w:r>
        <w:r>
          <w:tab/>
        </w:r>
        <w:fldSimple w:instr=" PAGE   \* MERGEFORMAT ">
          <w:r w:rsidR="007475C5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F62" w:rsidRDefault="004F2F62" w:rsidP="009E458E">
      <w:pPr>
        <w:spacing w:after="0" w:line="240" w:lineRule="auto"/>
      </w:pPr>
      <w:r>
        <w:separator/>
      </w:r>
    </w:p>
  </w:footnote>
  <w:footnote w:type="continuationSeparator" w:id="0">
    <w:p w:rsidR="004F2F62" w:rsidRDefault="004F2F62" w:rsidP="009E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58E" w:rsidRDefault="009E458E">
    <w:pPr>
      <w:pStyle w:val="Header"/>
    </w:pPr>
    <w:r>
      <w:rPr>
        <w:noProof/>
      </w:rPr>
      <w:tab/>
    </w:r>
  </w:p>
  <w:p w:rsidR="009E458E" w:rsidRDefault="009E45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903"/>
    <w:multiLevelType w:val="hybridMultilevel"/>
    <w:tmpl w:val="F984DAB2"/>
    <w:lvl w:ilvl="0" w:tplc="BF2460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B01B8"/>
    <w:multiLevelType w:val="hybridMultilevel"/>
    <w:tmpl w:val="F0F21150"/>
    <w:lvl w:ilvl="0" w:tplc="BF2460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D1A1F"/>
    <w:multiLevelType w:val="hybridMultilevel"/>
    <w:tmpl w:val="50F66CAA"/>
    <w:lvl w:ilvl="0" w:tplc="B98CDF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53AE8"/>
    <w:multiLevelType w:val="hybridMultilevel"/>
    <w:tmpl w:val="9AF8B0A0"/>
    <w:lvl w:ilvl="0" w:tplc="BF24602A">
      <w:start w:val="4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0E366234"/>
    <w:multiLevelType w:val="hybridMultilevel"/>
    <w:tmpl w:val="5F0826C6"/>
    <w:lvl w:ilvl="0" w:tplc="BF24602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9317D"/>
    <w:multiLevelType w:val="hybridMultilevel"/>
    <w:tmpl w:val="40580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D0E6E"/>
    <w:multiLevelType w:val="hybridMultilevel"/>
    <w:tmpl w:val="E91A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139CE"/>
    <w:multiLevelType w:val="hybridMultilevel"/>
    <w:tmpl w:val="F6DE5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64FB5"/>
    <w:multiLevelType w:val="hybridMultilevel"/>
    <w:tmpl w:val="04E2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5656F"/>
    <w:multiLevelType w:val="hybridMultilevel"/>
    <w:tmpl w:val="04E2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74D6A"/>
    <w:multiLevelType w:val="hybridMultilevel"/>
    <w:tmpl w:val="C4F4739C"/>
    <w:lvl w:ilvl="0" w:tplc="BF2460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3B334C"/>
    <w:multiLevelType w:val="hybridMultilevel"/>
    <w:tmpl w:val="6832D402"/>
    <w:lvl w:ilvl="0" w:tplc="BF2460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C534B"/>
    <w:multiLevelType w:val="hybridMultilevel"/>
    <w:tmpl w:val="AD760834"/>
    <w:lvl w:ilvl="0" w:tplc="BF24602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C44C41"/>
    <w:multiLevelType w:val="hybridMultilevel"/>
    <w:tmpl w:val="3030EF30"/>
    <w:lvl w:ilvl="0" w:tplc="BF2460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5"/>
  </w:num>
  <w:num w:numId="6">
    <w:abstractNumId w:val="13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174298"/>
    <w:rsid w:val="000065CF"/>
    <w:rsid w:val="00044FDD"/>
    <w:rsid w:val="000D05F9"/>
    <w:rsid w:val="000F5C4C"/>
    <w:rsid w:val="00115FB3"/>
    <w:rsid w:val="00130174"/>
    <w:rsid w:val="00173632"/>
    <w:rsid w:val="00174298"/>
    <w:rsid w:val="00192950"/>
    <w:rsid w:val="00196877"/>
    <w:rsid w:val="001A050D"/>
    <w:rsid w:val="001B2CA2"/>
    <w:rsid w:val="001C0EB3"/>
    <w:rsid w:val="001E147E"/>
    <w:rsid w:val="0020515B"/>
    <w:rsid w:val="00217EA1"/>
    <w:rsid w:val="00232675"/>
    <w:rsid w:val="002428AA"/>
    <w:rsid w:val="002B1ECB"/>
    <w:rsid w:val="00360949"/>
    <w:rsid w:val="003B21DD"/>
    <w:rsid w:val="00421530"/>
    <w:rsid w:val="00433C87"/>
    <w:rsid w:val="00461AE3"/>
    <w:rsid w:val="00462D79"/>
    <w:rsid w:val="00482200"/>
    <w:rsid w:val="004D7D3F"/>
    <w:rsid w:val="004F2F62"/>
    <w:rsid w:val="00504D34"/>
    <w:rsid w:val="00536026"/>
    <w:rsid w:val="00553A23"/>
    <w:rsid w:val="00554A2C"/>
    <w:rsid w:val="005923A5"/>
    <w:rsid w:val="005A5B09"/>
    <w:rsid w:val="005B4CC0"/>
    <w:rsid w:val="005F1EBE"/>
    <w:rsid w:val="0065015D"/>
    <w:rsid w:val="00686589"/>
    <w:rsid w:val="006A3D42"/>
    <w:rsid w:val="00720728"/>
    <w:rsid w:val="00737D9B"/>
    <w:rsid w:val="007475C5"/>
    <w:rsid w:val="00755A73"/>
    <w:rsid w:val="00772C4B"/>
    <w:rsid w:val="00780FD4"/>
    <w:rsid w:val="00795156"/>
    <w:rsid w:val="007D1FE6"/>
    <w:rsid w:val="007F222F"/>
    <w:rsid w:val="008033F6"/>
    <w:rsid w:val="008825EA"/>
    <w:rsid w:val="008E4318"/>
    <w:rsid w:val="008E5DC8"/>
    <w:rsid w:val="008F0389"/>
    <w:rsid w:val="00901321"/>
    <w:rsid w:val="00920F5C"/>
    <w:rsid w:val="00931BAD"/>
    <w:rsid w:val="009558EE"/>
    <w:rsid w:val="009575F7"/>
    <w:rsid w:val="00993748"/>
    <w:rsid w:val="009E458E"/>
    <w:rsid w:val="009F7392"/>
    <w:rsid w:val="00A12622"/>
    <w:rsid w:val="00A20148"/>
    <w:rsid w:val="00AB00E7"/>
    <w:rsid w:val="00AB04E9"/>
    <w:rsid w:val="00AB2D65"/>
    <w:rsid w:val="00AD0127"/>
    <w:rsid w:val="00AD750F"/>
    <w:rsid w:val="00AF18CF"/>
    <w:rsid w:val="00B131E3"/>
    <w:rsid w:val="00B56E47"/>
    <w:rsid w:val="00B632E6"/>
    <w:rsid w:val="00B83D72"/>
    <w:rsid w:val="00B95C4F"/>
    <w:rsid w:val="00BA4581"/>
    <w:rsid w:val="00BE4574"/>
    <w:rsid w:val="00C30CD2"/>
    <w:rsid w:val="00C45C3D"/>
    <w:rsid w:val="00C623F1"/>
    <w:rsid w:val="00C92C40"/>
    <w:rsid w:val="00CA0CD7"/>
    <w:rsid w:val="00CC7084"/>
    <w:rsid w:val="00D16AF0"/>
    <w:rsid w:val="00D21A09"/>
    <w:rsid w:val="00D50A73"/>
    <w:rsid w:val="00D513BD"/>
    <w:rsid w:val="00D71A6A"/>
    <w:rsid w:val="00DC1CD4"/>
    <w:rsid w:val="00E43C78"/>
    <w:rsid w:val="00E513FF"/>
    <w:rsid w:val="00E722BB"/>
    <w:rsid w:val="00EC475A"/>
    <w:rsid w:val="00F829FA"/>
    <w:rsid w:val="00F84E86"/>
    <w:rsid w:val="00FA758E"/>
    <w:rsid w:val="00FC04C1"/>
    <w:rsid w:val="00FC20FD"/>
    <w:rsid w:val="00FD1653"/>
    <w:rsid w:val="00FF5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298"/>
  </w:style>
  <w:style w:type="paragraph" w:styleId="Heading1">
    <w:name w:val="heading 1"/>
    <w:basedOn w:val="Normal"/>
    <w:next w:val="Normal"/>
    <w:link w:val="Heading1Char"/>
    <w:uiPriority w:val="9"/>
    <w:qFormat/>
    <w:rsid w:val="00174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2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29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74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1742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429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29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74298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74298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742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58E"/>
  </w:style>
  <w:style w:type="paragraph" w:styleId="Footer">
    <w:name w:val="footer"/>
    <w:basedOn w:val="Normal"/>
    <w:link w:val="FooterChar"/>
    <w:uiPriority w:val="99"/>
    <w:unhideWhenUsed/>
    <w:rsid w:val="009E4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5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972A5-96E9-465D-BC7E-991E5E4E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STMicroelectronics</Company>
  <LinksUpToDate>false</LinksUpToDate>
  <CharactersWithSpaces>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cnanda</dc:creator>
  <cp:keywords/>
  <dc:description/>
  <cp:lastModifiedBy>Chetan Nanda</cp:lastModifiedBy>
  <cp:revision>73</cp:revision>
  <dcterms:created xsi:type="dcterms:W3CDTF">2012-03-09T14:13:00Z</dcterms:created>
  <dcterms:modified xsi:type="dcterms:W3CDTF">2012-03-12T07:56:00Z</dcterms:modified>
</cp:coreProperties>
</file>