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55A3D" w14:textId="77777777" w:rsidR="005A0460" w:rsidRPr="00447032" w:rsidRDefault="005A0460" w:rsidP="005A046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4703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Задача 2: Прогнозирование дебита нефтяных скважин на основе исторических данных добычи</w:t>
      </w:r>
    </w:p>
    <w:p w14:paraId="69A3BC83" w14:textId="77777777" w:rsidR="005A0460" w:rsidRPr="00447032" w:rsidRDefault="005A0460" w:rsidP="005A046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4703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Цель:</w:t>
      </w:r>
    </w:p>
    <w:p w14:paraId="4983CC39" w14:textId="5B78C5E9" w:rsidR="005A0460" w:rsidRPr="00447032" w:rsidRDefault="005A0460" w:rsidP="005A046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7032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Разработка модели машинного обучения для прогнозирования суточного и месячного дебита нефтяных скважин на основе исторических данных добычи с целью оптимизации планирования разработки месторождения и повышения точности оценки запасов.</w:t>
      </w:r>
    </w:p>
    <w:p w14:paraId="603E905B" w14:textId="77777777" w:rsidR="005A0460" w:rsidRPr="00447032" w:rsidRDefault="005A0460" w:rsidP="005A046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4703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Краткий предметный обзор:</w:t>
      </w:r>
    </w:p>
    <w:p w14:paraId="5B34D13E" w14:textId="08CDB196" w:rsidR="005A0460" w:rsidRPr="00447032" w:rsidRDefault="005A0460" w:rsidP="005A046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7032">
        <w:rPr>
          <w:rFonts w:ascii="Times New Roman" w:eastAsia="Times New Roman" w:hAnsi="Times New Roman" w:cs="Times New Roman"/>
          <w:sz w:val="28"/>
          <w:szCs w:val="28"/>
          <w:lang w:val="ru-RU"/>
        </w:rPr>
        <w:t>Прогнозирование дебита скважин — ключевая задача при управлении разработкой нефтяных и газовых месторождений. Точные прогнозы позволяют своевременно планировать геолого-технические мероприятия (ГТМ), обустройство инфраструктуры и обосновывать запасы в государственном балансе МСБ. Традиционные методы (</w:t>
      </w:r>
      <w:r w:rsidR="00C02F2C">
        <w:rPr>
          <w:rFonts w:ascii="Times New Roman" w:eastAsia="Times New Roman" w:hAnsi="Times New Roman" w:cs="Times New Roman"/>
          <w:sz w:val="28"/>
          <w:szCs w:val="28"/>
          <w:lang w:val="ru-RU"/>
        </w:rPr>
        <w:t>кривая</w:t>
      </w:r>
      <w:r w:rsidRPr="0044703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Арпс</w:t>
      </w:r>
      <w:r w:rsidR="00FF662C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44703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имеют ограничения в сложных условиях; </w:t>
      </w:r>
      <w:r w:rsidRPr="00447032">
        <w:rPr>
          <w:rFonts w:ascii="Times New Roman" w:eastAsia="Times New Roman" w:hAnsi="Times New Roman" w:cs="Times New Roman"/>
          <w:sz w:val="28"/>
          <w:szCs w:val="28"/>
        </w:rPr>
        <w:t>ML</w:t>
      </w:r>
      <w:r w:rsidRPr="00447032">
        <w:rPr>
          <w:rFonts w:ascii="Times New Roman" w:eastAsia="Times New Roman" w:hAnsi="Times New Roman" w:cs="Times New Roman"/>
          <w:sz w:val="28"/>
          <w:szCs w:val="28"/>
          <w:lang w:val="ru-RU"/>
        </w:rPr>
        <w:t>-подходы позволяют учитывать нелинейные зависимости.</w:t>
      </w:r>
    </w:p>
    <w:p w14:paraId="144C1DBB" w14:textId="77777777" w:rsidR="005A0460" w:rsidRPr="00447032" w:rsidRDefault="005A0460" w:rsidP="005A046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7032">
        <w:rPr>
          <w:rFonts w:ascii="Times New Roman" w:eastAsia="Times New Roman" w:hAnsi="Times New Roman" w:cs="Times New Roman"/>
          <w:b/>
          <w:bCs/>
          <w:sz w:val="28"/>
          <w:szCs w:val="28"/>
        </w:rPr>
        <w:t>Обратная связь и адаптация:</w:t>
      </w:r>
    </w:p>
    <w:p w14:paraId="471D391E" w14:textId="7E5308ED" w:rsidR="005A0460" w:rsidRPr="00447032" w:rsidRDefault="005A0460" w:rsidP="005A0460">
      <w:pPr>
        <w:numPr>
          <w:ilvl w:val="0"/>
          <w:numId w:val="20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7032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Проверка прогноза на скважинах</w:t>
      </w:r>
      <w:r w:rsidR="0057499C" w:rsidRPr="0057499C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44703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 использовавшихся при обучении.</w:t>
      </w:r>
    </w:p>
    <w:p w14:paraId="472517DA" w14:textId="77777777" w:rsidR="005A0460" w:rsidRPr="00447032" w:rsidRDefault="005A0460" w:rsidP="005A0460">
      <w:pPr>
        <w:numPr>
          <w:ilvl w:val="0"/>
          <w:numId w:val="20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7032">
        <w:rPr>
          <w:rFonts w:ascii="Times New Roman" w:eastAsia="Times New Roman" w:hAnsi="Times New Roman" w:cs="Times New Roman"/>
          <w:sz w:val="28"/>
          <w:szCs w:val="28"/>
          <w:lang w:val="ru-RU"/>
        </w:rPr>
        <w:t>Корректировка модели по мере поступления новых данных добычи.</w:t>
      </w:r>
    </w:p>
    <w:p w14:paraId="7A5FFA45" w14:textId="77777777" w:rsidR="00FA3213" w:rsidRPr="009E66FB" w:rsidRDefault="005A0460" w:rsidP="00FA3213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703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Обзор</w:t>
      </w:r>
      <w:r w:rsidRPr="009E66F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44703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исходных</w:t>
      </w:r>
      <w:r w:rsidRPr="009E66F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44703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данных</w:t>
      </w:r>
      <w:r w:rsidRPr="009E66FB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62628AD5" w14:textId="48AEBF72" w:rsidR="00FA3213" w:rsidRPr="00FA3213" w:rsidRDefault="00FA3213" w:rsidP="00FA3213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3213">
        <w:rPr>
          <w:rFonts w:ascii="Times New Roman" w:eastAsia="Times New Roman" w:hAnsi="Times New Roman" w:cs="Times New Roman"/>
          <w:sz w:val="28"/>
          <w:szCs w:val="28"/>
          <w:lang w:val="ru-RU"/>
        </w:rPr>
        <w:t>Датасет</w:t>
      </w:r>
      <w:r w:rsidRPr="00FA3213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FA32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r:id="rId8" w:tgtFrame="_blank" w:history="1">
        <w:r w:rsidRPr="00FA3213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Volve production data — Kaggle (lamyalbert)</w:t>
        </w:r>
      </w:hyperlink>
    </w:p>
    <w:p w14:paraId="7974F78D" w14:textId="38161ABB" w:rsidR="00FA3213" w:rsidRPr="00FA3213" w:rsidRDefault="00FA3213" w:rsidP="00FA3213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A3213">
        <w:rPr>
          <w:rFonts w:ascii="Times New Roman" w:eastAsia="Times New Roman" w:hAnsi="Times New Roman" w:cs="Times New Roman"/>
          <w:sz w:val="28"/>
          <w:szCs w:val="28"/>
          <w:lang w:val="ru-RU"/>
        </w:rPr>
        <w:t>Да</w:t>
      </w:r>
      <w:r w:rsidR="004E6741">
        <w:rPr>
          <w:rFonts w:ascii="Times New Roman" w:eastAsia="Times New Roman" w:hAnsi="Times New Roman" w:cs="Times New Roman"/>
          <w:sz w:val="28"/>
          <w:szCs w:val="28"/>
          <w:lang w:val="ru-RU"/>
        </w:rPr>
        <w:t>тасет</w:t>
      </w:r>
      <w:r w:rsidRPr="00FA32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содерж</w:t>
      </w:r>
      <w:r w:rsidR="004E6741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FA3213">
        <w:rPr>
          <w:rFonts w:ascii="Times New Roman" w:eastAsia="Times New Roman" w:hAnsi="Times New Roman" w:cs="Times New Roman"/>
          <w:sz w:val="28"/>
          <w:szCs w:val="28"/>
          <w:lang w:val="ru-RU"/>
        </w:rPr>
        <w:t>т производственные данные, конструкцию скважин, данные каротажа (петрофизического и бурового), геологические и стратиграфические данные, статические и динамические модели.</w:t>
      </w:r>
    </w:p>
    <w:p w14:paraId="1749C4D3" w14:textId="77777777" w:rsidR="00FA3213" w:rsidRPr="00FA3213" w:rsidRDefault="00FA3213" w:rsidP="00FA3213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A32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Производственная часть включает колонки: </w:t>
      </w:r>
      <w:r w:rsidRPr="00FA3213">
        <w:rPr>
          <w:rFonts w:ascii="Times New Roman" w:eastAsia="Times New Roman" w:hAnsi="Times New Roman" w:cs="Times New Roman"/>
          <w:sz w:val="28"/>
          <w:szCs w:val="28"/>
        </w:rPr>
        <w:t>Dateprd</w:t>
      </w:r>
      <w:r w:rsidRPr="00FA32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(дата), </w:t>
      </w:r>
      <w:r w:rsidRPr="00FA3213">
        <w:rPr>
          <w:rFonts w:ascii="Times New Roman" w:eastAsia="Times New Roman" w:hAnsi="Times New Roman" w:cs="Times New Roman"/>
          <w:sz w:val="28"/>
          <w:szCs w:val="28"/>
        </w:rPr>
        <w:t>Well</w:t>
      </w:r>
      <w:r w:rsidRPr="00FA3213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FA3213">
        <w:rPr>
          <w:rFonts w:ascii="Times New Roman" w:eastAsia="Times New Roman" w:hAnsi="Times New Roman" w:cs="Times New Roman"/>
          <w:sz w:val="28"/>
          <w:szCs w:val="28"/>
        </w:rPr>
        <w:t>bore</w:t>
      </w:r>
      <w:r w:rsidRPr="00FA3213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FA3213">
        <w:rPr>
          <w:rFonts w:ascii="Times New Roman" w:eastAsia="Times New Roman" w:hAnsi="Times New Roman" w:cs="Times New Roman"/>
          <w:sz w:val="28"/>
          <w:szCs w:val="28"/>
        </w:rPr>
        <w:t>code</w:t>
      </w:r>
      <w:r w:rsidRPr="00FA32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(идентификатор скважины), </w:t>
      </w:r>
      <w:r w:rsidRPr="00FA3213">
        <w:rPr>
          <w:rFonts w:ascii="Times New Roman" w:eastAsia="Times New Roman" w:hAnsi="Times New Roman" w:cs="Times New Roman"/>
          <w:sz w:val="28"/>
          <w:szCs w:val="28"/>
        </w:rPr>
        <w:t>On</w:t>
      </w:r>
      <w:r w:rsidRPr="00FA3213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FA3213">
        <w:rPr>
          <w:rFonts w:ascii="Times New Roman" w:eastAsia="Times New Roman" w:hAnsi="Times New Roman" w:cs="Times New Roman"/>
          <w:sz w:val="28"/>
          <w:szCs w:val="28"/>
        </w:rPr>
        <w:t>Stream</w:t>
      </w:r>
      <w:r w:rsidRPr="00FA3213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FA3213">
        <w:rPr>
          <w:rFonts w:ascii="Times New Roman" w:eastAsia="Times New Roman" w:hAnsi="Times New Roman" w:cs="Times New Roman"/>
          <w:sz w:val="28"/>
          <w:szCs w:val="28"/>
        </w:rPr>
        <w:t>Hrs</w:t>
      </w:r>
      <w:r w:rsidRPr="00FA32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(часы работы), </w:t>
      </w:r>
      <w:r w:rsidRPr="00FA3213">
        <w:rPr>
          <w:rFonts w:ascii="Times New Roman" w:eastAsia="Times New Roman" w:hAnsi="Times New Roman" w:cs="Times New Roman"/>
          <w:sz w:val="28"/>
          <w:szCs w:val="28"/>
        </w:rPr>
        <w:t>AVG</w:t>
      </w:r>
      <w:r w:rsidRPr="00FA3213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FA3213">
        <w:rPr>
          <w:rFonts w:ascii="Times New Roman" w:eastAsia="Times New Roman" w:hAnsi="Times New Roman" w:cs="Times New Roman"/>
          <w:sz w:val="28"/>
          <w:szCs w:val="28"/>
        </w:rPr>
        <w:t>DOWNHOLE</w:t>
      </w:r>
      <w:r w:rsidRPr="00FA3213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FA3213">
        <w:rPr>
          <w:rFonts w:ascii="Times New Roman" w:eastAsia="Times New Roman" w:hAnsi="Times New Roman" w:cs="Times New Roman"/>
          <w:sz w:val="28"/>
          <w:szCs w:val="28"/>
        </w:rPr>
        <w:t>PRESSURE</w:t>
      </w:r>
      <w:r w:rsidRPr="00FA32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FA3213">
        <w:rPr>
          <w:rFonts w:ascii="Times New Roman" w:eastAsia="Times New Roman" w:hAnsi="Times New Roman" w:cs="Times New Roman"/>
          <w:sz w:val="28"/>
          <w:szCs w:val="28"/>
        </w:rPr>
        <w:t>AVG</w:t>
      </w:r>
      <w:r w:rsidRPr="00FA3213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FA3213">
        <w:rPr>
          <w:rFonts w:ascii="Times New Roman" w:eastAsia="Times New Roman" w:hAnsi="Times New Roman" w:cs="Times New Roman"/>
          <w:sz w:val="28"/>
          <w:szCs w:val="28"/>
        </w:rPr>
        <w:t>WHP</w:t>
      </w:r>
      <w:r w:rsidRPr="00FA3213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FA3213">
        <w:rPr>
          <w:rFonts w:ascii="Times New Roman" w:eastAsia="Times New Roman" w:hAnsi="Times New Roman" w:cs="Times New Roman"/>
          <w:sz w:val="28"/>
          <w:szCs w:val="28"/>
        </w:rPr>
        <w:t>P</w:t>
      </w:r>
      <w:r w:rsidRPr="00FA32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(устьевое давление), </w:t>
      </w:r>
      <w:r w:rsidRPr="00FA3213">
        <w:rPr>
          <w:rFonts w:ascii="Times New Roman" w:eastAsia="Times New Roman" w:hAnsi="Times New Roman" w:cs="Times New Roman"/>
          <w:sz w:val="28"/>
          <w:szCs w:val="28"/>
        </w:rPr>
        <w:t>BORE</w:t>
      </w:r>
      <w:r w:rsidRPr="00FA3213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FA3213">
        <w:rPr>
          <w:rFonts w:ascii="Times New Roman" w:eastAsia="Times New Roman" w:hAnsi="Times New Roman" w:cs="Times New Roman"/>
          <w:sz w:val="28"/>
          <w:szCs w:val="28"/>
        </w:rPr>
        <w:t>OIL</w:t>
      </w:r>
      <w:r w:rsidRPr="00FA3213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FA3213">
        <w:rPr>
          <w:rFonts w:ascii="Times New Roman" w:eastAsia="Times New Roman" w:hAnsi="Times New Roman" w:cs="Times New Roman"/>
          <w:sz w:val="28"/>
          <w:szCs w:val="28"/>
        </w:rPr>
        <w:t>VOL</w:t>
      </w:r>
      <w:r w:rsidRPr="00FA32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FA3213">
        <w:rPr>
          <w:rFonts w:ascii="Times New Roman" w:eastAsia="Times New Roman" w:hAnsi="Times New Roman" w:cs="Times New Roman"/>
          <w:sz w:val="28"/>
          <w:szCs w:val="28"/>
        </w:rPr>
        <w:t>BORE</w:t>
      </w:r>
      <w:r w:rsidRPr="00FA3213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FA3213">
        <w:rPr>
          <w:rFonts w:ascii="Times New Roman" w:eastAsia="Times New Roman" w:hAnsi="Times New Roman" w:cs="Times New Roman"/>
          <w:sz w:val="28"/>
          <w:szCs w:val="28"/>
        </w:rPr>
        <w:t>GAS</w:t>
      </w:r>
      <w:r w:rsidRPr="00FA3213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FA3213">
        <w:rPr>
          <w:rFonts w:ascii="Times New Roman" w:eastAsia="Times New Roman" w:hAnsi="Times New Roman" w:cs="Times New Roman"/>
          <w:sz w:val="28"/>
          <w:szCs w:val="28"/>
        </w:rPr>
        <w:t>VOL</w:t>
      </w:r>
      <w:r w:rsidRPr="00FA32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FA3213">
        <w:rPr>
          <w:rFonts w:ascii="Times New Roman" w:eastAsia="Times New Roman" w:hAnsi="Times New Roman" w:cs="Times New Roman"/>
          <w:sz w:val="28"/>
          <w:szCs w:val="28"/>
        </w:rPr>
        <w:t>BORE</w:t>
      </w:r>
      <w:r w:rsidRPr="00FA3213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FA3213">
        <w:rPr>
          <w:rFonts w:ascii="Times New Roman" w:eastAsia="Times New Roman" w:hAnsi="Times New Roman" w:cs="Times New Roman"/>
          <w:sz w:val="28"/>
          <w:szCs w:val="28"/>
        </w:rPr>
        <w:t>WAT</w:t>
      </w:r>
      <w:r w:rsidRPr="00FA3213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FA3213">
        <w:rPr>
          <w:rFonts w:ascii="Times New Roman" w:eastAsia="Times New Roman" w:hAnsi="Times New Roman" w:cs="Times New Roman"/>
          <w:sz w:val="28"/>
          <w:szCs w:val="28"/>
        </w:rPr>
        <w:t>VOL</w:t>
      </w:r>
      <w:r w:rsidRPr="00FA32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дебиты нефти, газа и воды по скважинам посуточно.</w:t>
      </w:r>
    </w:p>
    <w:p w14:paraId="60BD44A1" w14:textId="77777777" w:rsidR="005A0460" w:rsidRPr="00447032" w:rsidRDefault="005A0460" w:rsidP="005A046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7032">
        <w:rPr>
          <w:rFonts w:ascii="Times New Roman" w:eastAsia="Times New Roman" w:hAnsi="Times New Roman" w:cs="Times New Roman"/>
          <w:b/>
          <w:bCs/>
          <w:sz w:val="28"/>
          <w:szCs w:val="28"/>
        </w:rPr>
        <w:t>Подготовка данных:</w:t>
      </w:r>
    </w:p>
    <w:p w14:paraId="57FEB179" w14:textId="77777777" w:rsidR="005A0460" w:rsidRPr="00447032" w:rsidRDefault="005A0460" w:rsidP="005A0460">
      <w:pPr>
        <w:numPr>
          <w:ilvl w:val="0"/>
          <w:numId w:val="21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7032">
        <w:rPr>
          <w:rFonts w:ascii="Times New Roman" w:eastAsia="Times New Roman" w:hAnsi="Times New Roman" w:cs="Times New Roman"/>
          <w:sz w:val="28"/>
          <w:szCs w:val="28"/>
          <w:lang w:val="ru-RU"/>
        </w:rPr>
        <w:t>Загрузка данных, формирование временного ряда дебита по отдельной скважине.</w:t>
      </w:r>
    </w:p>
    <w:p w14:paraId="60EB58C1" w14:textId="77777777" w:rsidR="005A0460" w:rsidRPr="00447032" w:rsidRDefault="005A0460" w:rsidP="005A0460">
      <w:pPr>
        <w:numPr>
          <w:ilvl w:val="0"/>
          <w:numId w:val="21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7032">
        <w:rPr>
          <w:rFonts w:ascii="Times New Roman" w:eastAsia="Times New Roman" w:hAnsi="Times New Roman" w:cs="Times New Roman"/>
          <w:sz w:val="28"/>
          <w:szCs w:val="28"/>
          <w:lang w:val="ru-RU"/>
        </w:rPr>
        <w:t>Обработка пропусков (интерполяция, исключение периодов простоя).</w:t>
      </w:r>
    </w:p>
    <w:p w14:paraId="3FB8D03C" w14:textId="77777777" w:rsidR="005A0460" w:rsidRPr="00447032" w:rsidRDefault="005A0460" w:rsidP="005A0460">
      <w:pPr>
        <w:numPr>
          <w:ilvl w:val="0"/>
          <w:numId w:val="21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7032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Формирование лаговых признаков: дебит за 1, 3, 6 предыдущих месяцев; скользящее среднее.</w:t>
      </w:r>
    </w:p>
    <w:p w14:paraId="30196BC2" w14:textId="575B65C9" w:rsidR="005A0460" w:rsidRPr="00447032" w:rsidRDefault="005A0460" w:rsidP="005A0460">
      <w:pPr>
        <w:numPr>
          <w:ilvl w:val="0"/>
          <w:numId w:val="21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7032">
        <w:rPr>
          <w:rFonts w:ascii="Times New Roman" w:eastAsia="Times New Roman" w:hAnsi="Times New Roman" w:cs="Times New Roman"/>
          <w:sz w:val="28"/>
          <w:szCs w:val="28"/>
          <w:lang w:val="ru-RU"/>
        </w:rPr>
        <w:t>Разбивка</w:t>
      </w:r>
      <w:r w:rsidR="004E67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обучение и тест - </w:t>
      </w:r>
      <w:r w:rsidR="004E6741" w:rsidRPr="00447032">
        <w:rPr>
          <w:rFonts w:ascii="Times New Roman" w:eastAsia="Times New Roman" w:hAnsi="Times New Roman" w:cs="Times New Roman"/>
          <w:sz w:val="28"/>
          <w:szCs w:val="28"/>
          <w:lang w:val="ru-RU"/>
        </w:rPr>
        <w:t>строго хронологически</w:t>
      </w:r>
      <w:r w:rsidR="004E67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(то есть тест за обучением)</w:t>
      </w:r>
    </w:p>
    <w:p w14:paraId="5A47C2C6" w14:textId="77777777" w:rsidR="005A0460" w:rsidRPr="00447032" w:rsidRDefault="005A0460" w:rsidP="005A046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7032">
        <w:rPr>
          <w:rFonts w:ascii="Times New Roman" w:eastAsia="Times New Roman" w:hAnsi="Times New Roman" w:cs="Times New Roman"/>
          <w:b/>
          <w:bCs/>
          <w:sz w:val="28"/>
          <w:szCs w:val="28"/>
        </w:rPr>
        <w:t>Анализ данных:</w:t>
      </w:r>
    </w:p>
    <w:p w14:paraId="0E0802D8" w14:textId="149A25CF" w:rsidR="005A0460" w:rsidRPr="00447032" w:rsidRDefault="005A0460" w:rsidP="005A0460">
      <w:pPr>
        <w:numPr>
          <w:ilvl w:val="0"/>
          <w:numId w:val="22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703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Декомпозиция временного ряда: тренд, сезонность, остатки </w:t>
      </w:r>
    </w:p>
    <w:p w14:paraId="6461D4EF" w14:textId="239A9D89" w:rsidR="005A0460" w:rsidRPr="00447032" w:rsidRDefault="005A0460" w:rsidP="005A0460">
      <w:pPr>
        <w:numPr>
          <w:ilvl w:val="0"/>
          <w:numId w:val="22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703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Визуализация кривой падения добычи </w:t>
      </w:r>
    </w:p>
    <w:p w14:paraId="1832C512" w14:textId="6BC4C8DA" w:rsidR="005A0460" w:rsidRPr="00447032" w:rsidRDefault="005A0460" w:rsidP="005A0460">
      <w:pPr>
        <w:numPr>
          <w:ilvl w:val="0"/>
          <w:numId w:val="22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7032">
        <w:rPr>
          <w:rFonts w:ascii="Times New Roman" w:eastAsia="Times New Roman" w:hAnsi="Times New Roman" w:cs="Times New Roman"/>
          <w:sz w:val="28"/>
          <w:szCs w:val="28"/>
          <w:lang w:val="ru-RU"/>
        </w:rPr>
        <w:t>Тест Дики-Фуллера на стационарность</w:t>
      </w:r>
    </w:p>
    <w:p w14:paraId="6EBEFAC2" w14:textId="77777777" w:rsidR="005A0460" w:rsidRPr="00447032" w:rsidRDefault="005A0460" w:rsidP="005A046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7032">
        <w:rPr>
          <w:rFonts w:ascii="Times New Roman" w:eastAsia="Times New Roman" w:hAnsi="Times New Roman" w:cs="Times New Roman"/>
          <w:b/>
          <w:bCs/>
          <w:sz w:val="28"/>
          <w:szCs w:val="28"/>
        </w:rPr>
        <w:t>Моделирование процесса:</w:t>
      </w:r>
    </w:p>
    <w:p w14:paraId="2FA6DFA9" w14:textId="77777777" w:rsidR="005A0460" w:rsidRPr="00447032" w:rsidRDefault="005A0460" w:rsidP="005A0460">
      <w:pPr>
        <w:numPr>
          <w:ilvl w:val="0"/>
          <w:numId w:val="23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7032">
        <w:rPr>
          <w:rFonts w:ascii="Times New Roman" w:eastAsia="Times New Roman" w:hAnsi="Times New Roman" w:cs="Times New Roman"/>
          <w:sz w:val="28"/>
          <w:szCs w:val="28"/>
        </w:rPr>
        <w:t>Baseline</w:t>
      </w:r>
      <w:r w:rsidRPr="00447032">
        <w:rPr>
          <w:rFonts w:ascii="Times New Roman" w:eastAsia="Times New Roman" w:hAnsi="Times New Roman" w:cs="Times New Roman"/>
          <w:sz w:val="28"/>
          <w:szCs w:val="28"/>
          <w:lang w:val="ru-RU"/>
        </w:rPr>
        <w:t>: классическая экспоненциальная кривая Арпса — для сравнения.</w:t>
      </w:r>
    </w:p>
    <w:p w14:paraId="2FDF218D" w14:textId="33DF1C5E" w:rsidR="005A0460" w:rsidRPr="00447032" w:rsidRDefault="005A0460" w:rsidP="005A0460">
      <w:pPr>
        <w:numPr>
          <w:ilvl w:val="0"/>
          <w:numId w:val="23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47032">
        <w:rPr>
          <w:rFonts w:ascii="Times New Roman" w:eastAsia="Times New Roman" w:hAnsi="Times New Roman" w:cs="Times New Roman"/>
          <w:sz w:val="28"/>
          <w:szCs w:val="28"/>
        </w:rPr>
        <w:t>ML-модели</w:t>
      </w:r>
    </w:p>
    <w:p w14:paraId="1E16D8D2" w14:textId="77777777" w:rsidR="005A0460" w:rsidRPr="00447032" w:rsidRDefault="005A0460" w:rsidP="005A0460">
      <w:pPr>
        <w:numPr>
          <w:ilvl w:val="0"/>
          <w:numId w:val="23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703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Оценка по метрикам: </w:t>
      </w:r>
      <w:r w:rsidRPr="00447032">
        <w:rPr>
          <w:rFonts w:ascii="Times New Roman" w:eastAsia="Times New Roman" w:hAnsi="Times New Roman" w:cs="Times New Roman"/>
          <w:sz w:val="28"/>
          <w:szCs w:val="28"/>
        </w:rPr>
        <w:t>MAE</w:t>
      </w:r>
      <w:r w:rsidRPr="0044703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447032">
        <w:rPr>
          <w:rFonts w:ascii="Times New Roman" w:eastAsia="Times New Roman" w:hAnsi="Times New Roman" w:cs="Times New Roman"/>
          <w:sz w:val="28"/>
          <w:szCs w:val="28"/>
        </w:rPr>
        <w:t>RMSE</w:t>
      </w:r>
      <w:r w:rsidRPr="0044703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447032">
        <w:rPr>
          <w:rFonts w:ascii="Times New Roman" w:eastAsia="Times New Roman" w:hAnsi="Times New Roman" w:cs="Times New Roman"/>
          <w:sz w:val="28"/>
          <w:szCs w:val="28"/>
        </w:rPr>
        <w:t>R</w:t>
      </w:r>
      <w:r w:rsidRPr="0044703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² — сравнение с </w:t>
      </w:r>
      <w:r w:rsidRPr="00447032">
        <w:rPr>
          <w:rFonts w:ascii="Times New Roman" w:eastAsia="Times New Roman" w:hAnsi="Times New Roman" w:cs="Times New Roman"/>
          <w:sz w:val="28"/>
          <w:szCs w:val="28"/>
        </w:rPr>
        <w:t>baseline</w:t>
      </w:r>
      <w:r w:rsidRPr="00447032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D88A569" w14:textId="77777777" w:rsidR="005A0460" w:rsidRPr="00447032" w:rsidRDefault="005A0460" w:rsidP="005A046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7032">
        <w:rPr>
          <w:rFonts w:ascii="Times New Roman" w:eastAsia="Times New Roman" w:hAnsi="Times New Roman" w:cs="Times New Roman"/>
          <w:b/>
          <w:bCs/>
          <w:sz w:val="28"/>
          <w:szCs w:val="28"/>
        </w:rPr>
        <w:t>Разработка алгоритма прогнозирования:</w:t>
      </w:r>
    </w:p>
    <w:p w14:paraId="2E3EA508" w14:textId="77777777" w:rsidR="005A0460" w:rsidRPr="00447032" w:rsidRDefault="005A0460" w:rsidP="005A0460">
      <w:pPr>
        <w:numPr>
          <w:ilvl w:val="0"/>
          <w:numId w:val="24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7032">
        <w:rPr>
          <w:rFonts w:ascii="Times New Roman" w:eastAsia="Times New Roman" w:hAnsi="Times New Roman" w:cs="Times New Roman"/>
          <w:sz w:val="28"/>
          <w:szCs w:val="28"/>
          <w:lang w:val="ru-RU"/>
        </w:rPr>
        <w:t>Рекурсивный прогноз дебита на 6–12 месяцев вперёд.</w:t>
      </w:r>
    </w:p>
    <w:p w14:paraId="344DEF5C" w14:textId="77777777" w:rsidR="005A0460" w:rsidRPr="00447032" w:rsidRDefault="005A0460" w:rsidP="005A0460">
      <w:pPr>
        <w:numPr>
          <w:ilvl w:val="0"/>
          <w:numId w:val="24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703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Визуализация: факт </w:t>
      </w:r>
      <w:r w:rsidRPr="00447032">
        <w:rPr>
          <w:rFonts w:ascii="Times New Roman" w:eastAsia="Times New Roman" w:hAnsi="Times New Roman" w:cs="Times New Roman"/>
          <w:sz w:val="28"/>
          <w:szCs w:val="28"/>
        </w:rPr>
        <w:t>vs</w:t>
      </w:r>
      <w:r w:rsidRPr="0044703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прогноз </w:t>
      </w:r>
      <w:r w:rsidRPr="00447032">
        <w:rPr>
          <w:rFonts w:ascii="Times New Roman" w:eastAsia="Times New Roman" w:hAnsi="Times New Roman" w:cs="Times New Roman"/>
          <w:sz w:val="28"/>
          <w:szCs w:val="28"/>
        </w:rPr>
        <w:t>vs</w:t>
      </w:r>
      <w:r w:rsidRPr="0044703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кривая Арпса на одном графике.</w:t>
      </w:r>
    </w:p>
    <w:p w14:paraId="2CE472E4" w14:textId="77777777" w:rsidR="005A0460" w:rsidRPr="00447032" w:rsidRDefault="005A0460" w:rsidP="005A0460">
      <w:pPr>
        <w:numPr>
          <w:ilvl w:val="0"/>
          <w:numId w:val="24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47032">
        <w:rPr>
          <w:rFonts w:ascii="Times New Roman" w:eastAsia="Times New Roman" w:hAnsi="Times New Roman" w:cs="Times New Roman"/>
          <w:sz w:val="28"/>
          <w:szCs w:val="28"/>
        </w:rPr>
        <w:t>Построение доверительного интервала прогноза.</w:t>
      </w:r>
    </w:p>
    <w:p w14:paraId="5B94A3EA" w14:textId="14C8B145" w:rsidR="001C312B" w:rsidRPr="00447032" w:rsidRDefault="001C312B" w:rsidP="005A0460">
      <w:pPr>
        <w:spacing w:line="240" w:lineRule="auto"/>
        <w:jc w:val="both"/>
        <w:rPr>
          <w:rFonts w:ascii="Times New Roman" w:hAnsi="Times New Roman" w:cs="Times New Roman"/>
        </w:rPr>
      </w:pPr>
    </w:p>
    <w:sectPr w:rsidR="001C312B" w:rsidRPr="00447032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190F3" w14:textId="77777777" w:rsidR="00416822" w:rsidRDefault="00416822" w:rsidP="00E2454C">
      <w:pPr>
        <w:spacing w:after="0" w:line="240" w:lineRule="auto"/>
      </w:pPr>
      <w:r>
        <w:separator/>
      </w:r>
    </w:p>
  </w:endnote>
  <w:endnote w:type="continuationSeparator" w:id="0">
    <w:p w14:paraId="61CA838E" w14:textId="77777777" w:rsidR="00416822" w:rsidRDefault="00416822" w:rsidP="00E245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859E1" w14:textId="77777777" w:rsidR="00416822" w:rsidRDefault="00416822" w:rsidP="00E2454C">
      <w:pPr>
        <w:spacing w:after="0" w:line="240" w:lineRule="auto"/>
      </w:pPr>
      <w:r>
        <w:separator/>
      </w:r>
    </w:p>
  </w:footnote>
  <w:footnote w:type="continuationSeparator" w:id="0">
    <w:p w14:paraId="706594AD" w14:textId="77777777" w:rsidR="00416822" w:rsidRDefault="00416822" w:rsidP="00E245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231EA8CC"/>
    <w:lvl w:ilvl="0" w:tplc="1CB6DDA2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  <w:lvl w:ilvl="1" w:tplc="3FF035C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8E818A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E32A6B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29C067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64419E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FEC323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DD2F07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6FEA3B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0000002"/>
    <w:multiLevelType w:val="hybridMultilevel"/>
    <w:tmpl w:val="7996139A"/>
    <w:lvl w:ilvl="0" w:tplc="76E24C7A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  <w:lvl w:ilvl="1" w:tplc="603A03E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2E88A8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850FDF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EC6F63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3B43CA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92EF68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A48FB3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B98B0C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0000003"/>
    <w:multiLevelType w:val="hybridMultilevel"/>
    <w:tmpl w:val="AD60B3F8"/>
    <w:lvl w:ilvl="0" w:tplc="DB46CA3E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  <w:lvl w:ilvl="1" w:tplc="5D1A121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89257F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76C0AD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9B47A6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4326DB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864EF6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4FC4E6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0C6414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00000004"/>
    <w:multiLevelType w:val="hybridMultilevel"/>
    <w:tmpl w:val="ADDEB35E"/>
    <w:lvl w:ilvl="0" w:tplc="8F96E0E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73FE550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E700CA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32E8F1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F5C87A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190003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C62C5E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3041DA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58A869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00000005"/>
    <w:multiLevelType w:val="hybridMultilevel"/>
    <w:tmpl w:val="DCF07CD4"/>
    <w:lvl w:ilvl="0" w:tplc="66924674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3850AF0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14E19E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E44C5E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47AC9E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CC6220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D180C3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51C6D0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F340F1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00000006"/>
    <w:multiLevelType w:val="hybridMultilevel"/>
    <w:tmpl w:val="7F127284"/>
    <w:lvl w:ilvl="0" w:tplc="C1E26F66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  <w:lvl w:ilvl="1" w:tplc="1C8A1CF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9128A7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14E01C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9CE07B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99CDE8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BF2F7E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6CE537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88A389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00000007"/>
    <w:multiLevelType w:val="hybridMultilevel"/>
    <w:tmpl w:val="DBC81DA8"/>
    <w:lvl w:ilvl="0" w:tplc="3C32B776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  <w:lvl w:ilvl="1" w:tplc="C926707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AE2A21A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3F0711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828C58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544B18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84EC60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CF4471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09CA58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00000008"/>
    <w:multiLevelType w:val="hybridMultilevel"/>
    <w:tmpl w:val="455C5806"/>
    <w:lvl w:ilvl="0" w:tplc="3E0EF11A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  <w:lvl w:ilvl="1" w:tplc="2BF486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15C155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B8001C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F20970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8360C5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BA0635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BE0B73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9508D7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03655C32"/>
    <w:multiLevelType w:val="multilevel"/>
    <w:tmpl w:val="55CCC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CA1ED4"/>
    <w:multiLevelType w:val="hybridMultilevel"/>
    <w:tmpl w:val="7264DDC4"/>
    <w:lvl w:ilvl="0" w:tplc="3CA4C50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  <w:lvl w:ilvl="1" w:tplc="0C8A88E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586F71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F30924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EAEA31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9B288A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B48AE1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A60574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884716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19230309"/>
    <w:multiLevelType w:val="multilevel"/>
    <w:tmpl w:val="43A0C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4D7B3A"/>
    <w:multiLevelType w:val="multilevel"/>
    <w:tmpl w:val="88C2E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E30759"/>
    <w:multiLevelType w:val="multilevel"/>
    <w:tmpl w:val="02469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80412D"/>
    <w:multiLevelType w:val="multilevel"/>
    <w:tmpl w:val="430A3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2F3F00"/>
    <w:multiLevelType w:val="multilevel"/>
    <w:tmpl w:val="33B4F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BA6979"/>
    <w:multiLevelType w:val="multilevel"/>
    <w:tmpl w:val="2A320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210367"/>
    <w:multiLevelType w:val="multilevel"/>
    <w:tmpl w:val="6C58F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E416C6"/>
    <w:multiLevelType w:val="multilevel"/>
    <w:tmpl w:val="DC8EB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223ACE"/>
    <w:multiLevelType w:val="multilevel"/>
    <w:tmpl w:val="5AB08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F94A09"/>
    <w:multiLevelType w:val="multilevel"/>
    <w:tmpl w:val="0F94E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8B3E67"/>
    <w:multiLevelType w:val="multilevel"/>
    <w:tmpl w:val="8D543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6036BA"/>
    <w:multiLevelType w:val="multilevel"/>
    <w:tmpl w:val="9C247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955E64"/>
    <w:multiLevelType w:val="multilevel"/>
    <w:tmpl w:val="D8582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C779CD"/>
    <w:multiLevelType w:val="multilevel"/>
    <w:tmpl w:val="01845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9998622">
    <w:abstractNumId w:val="4"/>
  </w:num>
  <w:num w:numId="2" w16cid:durableId="1178080172">
    <w:abstractNumId w:val="3"/>
  </w:num>
  <w:num w:numId="3" w16cid:durableId="973415006">
    <w:abstractNumId w:val="2"/>
  </w:num>
  <w:num w:numId="4" w16cid:durableId="849106986">
    <w:abstractNumId w:val="0"/>
  </w:num>
  <w:num w:numId="5" w16cid:durableId="961108829">
    <w:abstractNumId w:val="9"/>
  </w:num>
  <w:num w:numId="6" w16cid:durableId="2058309277">
    <w:abstractNumId w:val="6"/>
  </w:num>
  <w:num w:numId="7" w16cid:durableId="515460397">
    <w:abstractNumId w:val="7"/>
  </w:num>
  <w:num w:numId="8" w16cid:durableId="12609418">
    <w:abstractNumId w:val="1"/>
  </w:num>
  <w:num w:numId="9" w16cid:durableId="1279987272">
    <w:abstractNumId w:val="5"/>
  </w:num>
  <w:num w:numId="10" w16cid:durableId="1424885337">
    <w:abstractNumId w:val="12"/>
  </w:num>
  <w:num w:numId="11" w16cid:durableId="149369142">
    <w:abstractNumId w:val="13"/>
  </w:num>
  <w:num w:numId="12" w16cid:durableId="1598632671">
    <w:abstractNumId w:val="10"/>
  </w:num>
  <w:num w:numId="13" w16cid:durableId="231352916">
    <w:abstractNumId w:val="19"/>
  </w:num>
  <w:num w:numId="14" w16cid:durableId="411437751">
    <w:abstractNumId w:val="11"/>
  </w:num>
  <w:num w:numId="15" w16cid:durableId="1031690327">
    <w:abstractNumId w:val="21"/>
  </w:num>
  <w:num w:numId="16" w16cid:durableId="138770681">
    <w:abstractNumId w:val="16"/>
  </w:num>
  <w:num w:numId="17" w16cid:durableId="745229376">
    <w:abstractNumId w:val="15"/>
  </w:num>
  <w:num w:numId="18" w16cid:durableId="242180644">
    <w:abstractNumId w:val="23"/>
  </w:num>
  <w:num w:numId="19" w16cid:durableId="203686104">
    <w:abstractNumId w:val="18"/>
  </w:num>
  <w:num w:numId="20" w16cid:durableId="214512215">
    <w:abstractNumId w:val="17"/>
  </w:num>
  <w:num w:numId="21" w16cid:durableId="1805998465">
    <w:abstractNumId w:val="22"/>
  </w:num>
  <w:num w:numId="22" w16cid:durableId="770512307">
    <w:abstractNumId w:val="8"/>
  </w:num>
  <w:num w:numId="23" w16cid:durableId="2085058700">
    <w:abstractNumId w:val="14"/>
  </w:num>
  <w:num w:numId="24" w16cid:durableId="39185429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95C"/>
    <w:rsid w:val="001C312B"/>
    <w:rsid w:val="00416822"/>
    <w:rsid w:val="00447032"/>
    <w:rsid w:val="00472EF1"/>
    <w:rsid w:val="004E6741"/>
    <w:rsid w:val="0057499C"/>
    <w:rsid w:val="005A0460"/>
    <w:rsid w:val="006C1A38"/>
    <w:rsid w:val="009D4EFC"/>
    <w:rsid w:val="009E66FB"/>
    <w:rsid w:val="009F347E"/>
    <w:rsid w:val="00A81153"/>
    <w:rsid w:val="00AC6BD7"/>
    <w:rsid w:val="00C02F2C"/>
    <w:rsid w:val="00D14042"/>
    <w:rsid w:val="00DB695C"/>
    <w:rsid w:val="00E17AD5"/>
    <w:rsid w:val="00E2454C"/>
    <w:rsid w:val="00FA3213"/>
    <w:rsid w:val="00FF6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4EEF92C"/>
  <w15:docId w15:val="{0D407622-AC67-4926-B61E-80A78224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Arial" w:hAnsi="Cambria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60edcdc2-0941-4888-87a8-7f9f3760e6d0">
    <w:name w:val="Heading 1 Char_60edcdc2-0941-4888-87a8-7f9f3760e6d0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cc63a363-36fa-4077-8f76-79c0667b66d5">
    <w:name w:val="Heading 2 Char_cc63a363-36fa-4077-8f76-79c0667b66d5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58640c56-739a-4b69-bf98-9d95ece76f2c">
    <w:name w:val="Heading 3 Char_58640c56-739a-4b69-bf98-9d95ece76f2c"/>
    <w:basedOn w:val="DefaultParagraphFont"/>
    <w:uiPriority w:val="9"/>
    <w:rPr>
      <w:rFonts w:ascii="Arial" w:eastAsia="Arial" w:hAnsi="Arial" w:cs="Arial"/>
      <w:sz w:val="30"/>
      <w:szCs w:val="30"/>
    </w:rPr>
  </w:style>
  <w:style w:type="character" w:customStyle="1" w:styleId="Heading4Char632bfb2c-6e64-4fa3-a22a-b359d1c9e3d3">
    <w:name w:val="Heading 4 Char_632bfb2c-6e64-4fa3-a22a-b359d1c9e3d3"/>
    <w:basedOn w:val="DefaultParagraphFont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aad87f32-9f50-4682-a73e-c92a7f27ac36">
    <w:name w:val="Heading 5 Char_aad87f32-9f50-4682-a73e-c92a7f27ac36"/>
    <w:basedOn w:val="DefaultParagraphFont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07370500-c3d5-415a-8f1b-dd4984d9df35">
    <w:name w:val="Heading 6 Char_07370500-c3d5-415a-8f1b-dd4984d9df35"/>
    <w:basedOn w:val="DefaultParagraphFont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593285ec-3dbb-421c-bd4d-3676e2f28d54">
    <w:name w:val="Heading 7 Char_593285ec-3dbb-421c-bd4d-3676e2f28d54"/>
    <w:basedOn w:val="DefaultParagraphFont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23e674cb-0d57-4779-b3d7-5fd505d05efd">
    <w:name w:val="Heading 8 Char_23e674cb-0d57-4779-b3d7-5fd505d05efd"/>
    <w:basedOn w:val="DefaultParagraphFont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89920fb0-3c19-43b3-ad22-eb16f43b5591">
    <w:name w:val="Heading 9 Char_89920fb0-3c19-43b3-ad22-eb16f43b5591"/>
    <w:basedOn w:val="DefaultParagraphFont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d81dcc36-ef90-420a-8e66-86325fb863d0">
    <w:name w:val="Title Char_d81dcc36-ef90-420a-8e66-86325fb863d0"/>
    <w:basedOn w:val="DefaultParagraphFont"/>
    <w:uiPriority w:val="10"/>
    <w:rPr>
      <w:sz w:val="48"/>
      <w:szCs w:val="48"/>
    </w:rPr>
  </w:style>
  <w:style w:type="character" w:customStyle="1" w:styleId="SubtitleChar">
    <w:name w:val="Subtitle Char"/>
    <w:basedOn w:val="DefaultParagraphFont"/>
    <w:uiPriority w:val="11"/>
    <w:rPr>
      <w:sz w:val="24"/>
      <w:szCs w:val="24"/>
    </w:rPr>
  </w:style>
  <w:style w:type="character" w:customStyle="1" w:styleId="QuoteChard6fd3b82-652d-42ca-9775-efa63a978fcf">
    <w:name w:val="Quote Char_d6fd3b82-652d-42ca-9775-efa63a978fcf"/>
    <w:uiPriority w:val="29"/>
    <w:rPr>
      <w:i/>
    </w:rPr>
  </w:style>
  <w:style w:type="character" w:customStyle="1" w:styleId="IntenseQuoteChar37415ca4-d96e-4639-8925-06eee6bb85b7">
    <w:name w:val="Intense Quote Char_37415ca4-d96e-4639-8925-06eee6bb85b7"/>
    <w:uiPriority w:val="30"/>
    <w:rPr>
      <w:i/>
    </w:rPr>
  </w:style>
  <w:style w:type="character" w:customStyle="1" w:styleId="HeaderChar454f1e13-5cf7-4ad4-8978-55da8d863e82">
    <w:name w:val="Header Char_454f1e13-5cf7-4ad4-8978-55da8d863e82"/>
    <w:basedOn w:val="DefaultParagraphFont"/>
    <w:uiPriority w:val="99"/>
  </w:style>
  <w:style w:type="character" w:customStyle="1" w:styleId="FooterChard7fb994f-5801-4d06-b76d-3a1d5c7a3f90">
    <w:name w:val="Footer Char_d7fb994f-5801-4d06-b76d-3a1d5c7a3f90"/>
    <w:basedOn w:val="DefaultParagraphFont"/>
    <w:uiPriority w:val="99"/>
  </w:style>
  <w:style w:type="character" w:customStyle="1" w:styleId="CaptionChar">
    <w:name w:val="Caption Char"/>
    <w:basedOn w:val="DefaultParagraphFont"/>
    <w:uiPriority w:val="35"/>
    <w:rPr>
      <w:b/>
      <w:bCs/>
      <w:color w:val="4F81BD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CaptionChar1">
    <w:name w:val="Caption Char1"/>
    <w:basedOn w:val="DefaultParagraphFont"/>
    <w:link w:val="Caption"/>
    <w:uiPriority w:val="35"/>
    <w:rPr>
      <w:b/>
      <w:bCs/>
      <w:color w:val="4F81BD"/>
      <w:sz w:val="18"/>
      <w:szCs w:val="18"/>
    </w:r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customStyle="1" w:styleId="PlainTable11">
    <w:name w:val="Plain Table 11"/>
    <w:basedOn w:val="TableNormal"/>
    <w:uiPriority w:val="59"/>
    <w:pPr>
      <w:spacing w:after="0"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customStyle="1" w:styleId="PlainTable21">
    <w:name w:val="Plain Table 21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PlainTable31">
    <w:name w:val="Plain Table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PlainTable41">
    <w:name w:val="Plain Table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PlainTable51">
    <w:name w:val="Plain Table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GridTable1Light1">
    <w:name w:val="Grid Table 1 Light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GridTable21">
    <w:name w:val="Grid Table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31">
    <w:name w:val="Grid Table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41">
    <w:name w:val="Grid Table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5Dark1">
    <w:name w:val="Grid Table 5 Dark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customStyle="1" w:styleId="GridTable6Colourful1">
    <w:name w:val="Grid Table 6 Colourful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urful1">
    <w:name w:val="Grid Table 7 Colourful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rFonts w:ascii="Arial" w:hAnsi="Arial"/>
        <w:b/>
        <w:color w:val="7F7F7F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/>
          <w:right w:val="none" w:sz="0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000000"/>
          <w:left w:val="single" w:sz="4" w:space="0" w:color="7F7F7F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/>
          <w:right w:val="none" w:sz="0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0" w:space="0" w:color="000000"/>
          <w:left w:val="single" w:sz="4" w:space="0" w:color="A6BFDD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/>
          <w:right w:val="none" w:sz="0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000000"/>
          <w:left w:val="single" w:sz="4" w:space="0" w:color="D99695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/>
          <w:right w:val="none" w:sz="0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0" w:space="0" w:color="000000"/>
          <w:left w:val="single" w:sz="4" w:space="0" w:color="9ABB59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/>
          <w:right w:val="none" w:sz="0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000000"/>
          <w:left w:val="single" w:sz="4" w:space="0" w:color="B2A1C6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/>
          <w:right w:val="none" w:sz="0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0" w:space="0" w:color="000000"/>
          <w:left w:val="single" w:sz="4" w:space="0" w:color="99D0D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/>
          <w:right w:val="none" w:sz="0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0" w:space="0" w:color="000000"/>
          <w:left w:val="single" w:sz="4" w:space="0" w:color="FAC396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table" w:customStyle="1" w:styleId="ListTable1Light1">
    <w:name w:val="List Table 1 Light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customStyle="1" w:styleId="ListTable21">
    <w:name w:val="List Table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/>
        <w:bottom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/>
        <w:bottom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/>
        <w:bottom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/>
        <w:bottom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/>
        <w:bottom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/>
        <w:bottom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31">
    <w:name w:val="List Table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customStyle="1" w:styleId="ListTable41">
    <w:name w:val="List Table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5Dark1">
    <w:name w:val="List Table 5 Dark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customStyle="1" w:styleId="ListTable6Colourful1">
    <w:name w:val="List Table 6 Colourful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/>
        <w:bottom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/>
        <w:bottom w:val="single" w:sz="4" w:space="0" w:color="C3D69B"/>
      </w:tblBorders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/>
        <w:bottom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/>
        <w:bottom w:val="single" w:sz="4" w:space="0" w:color="92CCDC"/>
      </w:tblBorders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/>
        <w:bottom w:val="single" w:sz="4" w:space="0" w:color="FAC090"/>
      </w:tblBorders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stTable7Colourful1">
    <w:name w:val="List Table 7 Colourful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/>
          <w:right w:val="none" w:sz="0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000000"/>
          <w:left w:val="single" w:sz="4" w:space="0" w:color="7F7F7F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/>
      </w:tblBorders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/>
          <w:right w:val="none" w:sz="0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0" w:space="0" w:color="000000"/>
          <w:left w:val="single" w:sz="4" w:space="0" w:color="4F81BD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/>
      </w:tblBorders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/>
          <w:right w:val="none" w:sz="0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000000"/>
          <w:left w:val="single" w:sz="4" w:space="0" w:color="D99695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/>
      </w:tblBorders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/>
          <w:right w:val="none" w:sz="0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0" w:space="0" w:color="000000"/>
          <w:left w:val="single" w:sz="4" w:space="0" w:color="C3D69B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/>
      </w:tblBorders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/>
          <w:right w:val="none" w:sz="0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000000"/>
          <w:left w:val="single" w:sz="4" w:space="0" w:color="B2A1C6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/>
      </w:tblBorders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/>
          <w:right w:val="none" w:sz="0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0" w:space="0" w:color="000000"/>
          <w:left w:val="single" w:sz="4" w:space="0" w:color="92CCDC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/>
      </w:tblBorders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/>
          <w:right w:val="none" w:sz="0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0" w:space="0" w:color="000000"/>
          <w:left w:val="single" w:sz="4" w:space="0" w:color="FAC0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character" w:styleId="Hyperlink">
    <w:name w:val="Hyperlink"/>
    <w:uiPriority w:val="99"/>
    <w:rPr>
      <w:color w:val="0000FF"/>
      <w:u w:val="single"/>
    </w:rPr>
  </w:style>
  <w:style w:type="paragraph" w:styleId="FootnoteText">
    <w:name w:val="footnote text"/>
    <w:basedOn w:val="Normal"/>
    <w:link w:val="FootnoteTextChar1"/>
    <w:uiPriority w:val="99"/>
    <w:pPr>
      <w:spacing w:after="40" w:line="240" w:lineRule="auto"/>
    </w:pPr>
    <w:rPr>
      <w:sz w:val="18"/>
    </w:rPr>
  </w:style>
  <w:style w:type="character" w:customStyle="1" w:styleId="FootnoteTextChar1">
    <w:name w:val="Footnote Text Char1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link w:val="EndnoteTextChar1"/>
    <w:uiPriority w:val="99"/>
    <w:pPr>
      <w:spacing w:after="0" w:line="240" w:lineRule="auto"/>
    </w:pPr>
    <w:rPr>
      <w:sz w:val="20"/>
    </w:rPr>
  </w:style>
  <w:style w:type="character" w:customStyle="1" w:styleId="EndnoteTextChar1">
    <w:name w:val="Endnote Text Char1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1">
    <w:name w:val="toc 1"/>
    <w:basedOn w:val="Normal"/>
    <w:next w:val="Normal"/>
    <w:uiPriority w:val="39"/>
    <w:pPr>
      <w:spacing w:after="57"/>
    </w:pPr>
  </w:style>
  <w:style w:type="paragraph" w:styleId="TOC2">
    <w:name w:val="toc 2"/>
    <w:basedOn w:val="Normal"/>
    <w:next w:val="Normal"/>
    <w:uiPriority w:val="39"/>
    <w:pPr>
      <w:spacing w:after="57"/>
      <w:ind w:left="283"/>
    </w:pPr>
  </w:style>
  <w:style w:type="paragraph" w:styleId="TOC3">
    <w:name w:val="toc 3"/>
    <w:basedOn w:val="Normal"/>
    <w:next w:val="Normal"/>
    <w:uiPriority w:val="39"/>
    <w:pPr>
      <w:spacing w:after="57"/>
      <w:ind w:left="567"/>
    </w:pPr>
  </w:style>
  <w:style w:type="paragraph" w:styleId="TOC4">
    <w:name w:val="toc 4"/>
    <w:basedOn w:val="Normal"/>
    <w:next w:val="Normal"/>
    <w:uiPriority w:val="39"/>
    <w:pPr>
      <w:spacing w:after="57"/>
      <w:ind w:left="850"/>
    </w:pPr>
  </w:style>
  <w:style w:type="paragraph" w:styleId="TOC5">
    <w:name w:val="toc 5"/>
    <w:basedOn w:val="Normal"/>
    <w:next w:val="Normal"/>
    <w:uiPriority w:val="39"/>
    <w:pPr>
      <w:spacing w:after="57"/>
      <w:ind w:left="1134"/>
    </w:pPr>
  </w:style>
  <w:style w:type="paragraph" w:styleId="TOC6">
    <w:name w:val="toc 6"/>
    <w:basedOn w:val="Normal"/>
    <w:next w:val="Normal"/>
    <w:uiPriority w:val="39"/>
    <w:pPr>
      <w:spacing w:after="57"/>
      <w:ind w:left="1417"/>
    </w:pPr>
  </w:style>
  <w:style w:type="paragraph" w:styleId="TOC7">
    <w:name w:val="toc 7"/>
    <w:basedOn w:val="Normal"/>
    <w:next w:val="Normal"/>
    <w:uiPriority w:val="39"/>
    <w:pPr>
      <w:spacing w:after="57"/>
      <w:ind w:left="1701"/>
    </w:pPr>
  </w:style>
  <w:style w:type="paragraph" w:styleId="TOC8">
    <w:name w:val="toc 8"/>
    <w:basedOn w:val="Normal"/>
    <w:next w:val="Normal"/>
    <w:uiPriority w:val="39"/>
    <w:pPr>
      <w:spacing w:after="57"/>
      <w:ind w:left="1984"/>
    </w:pPr>
  </w:style>
  <w:style w:type="paragraph" w:styleId="TOC9">
    <w:name w:val="toc 9"/>
    <w:basedOn w:val="Normal"/>
    <w:next w:val="Normal"/>
    <w:uiPriority w:val="39"/>
    <w:pPr>
      <w:spacing w:after="57"/>
      <w:ind w:left="2268"/>
    </w:pPr>
  </w:style>
  <w:style w:type="paragraph" w:styleId="TableofFigures">
    <w:name w:val="table of figures"/>
    <w:basedOn w:val="Normal"/>
    <w:next w:val="Normal"/>
    <w:uiPriority w:val="99"/>
    <w:pPr>
      <w:spacing w:after="0"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Arial" w:hAnsi="Calibri" w:cs="Arial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Arial" w:hAnsi="Calibri" w:cs="Arial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Arial" w:hAnsi="Calibri" w:cs="Arial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hAnsi="Calibri"/>
      <w:color w:val="17365D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Arial" w:hAnsi="Calibri" w:cs="Arial"/>
      <w:color w:val="17365D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</w:pPr>
    <w:rPr>
      <w:rFonts w:ascii="Calibri" w:hAnsi="Calibri"/>
      <w:i/>
      <w:iCs/>
      <w:color w:val="4F81BD"/>
      <w:spacing w:val="15"/>
      <w:sz w:val="24"/>
      <w:szCs w:val="24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ascii="Calibri" w:eastAsia="Arial" w:hAnsi="Calibri" w:cs="Arial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Arial" w:hAnsi="Calibri" w:cs="Arial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Arial" w:hAnsi="Calibri" w:cs="Arial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Arial" w:hAnsi="Calibri" w:cs="Arial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Arial" w:hAnsi="Calibri" w:cs="Arial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Arial" w:hAnsi="Calibri" w:cs="Arial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Arial" w:hAnsi="Calibri" w:cs="Arial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link w:val="CaptionChar1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one" w:sz="4" w:space="0" w:color="000000"/>
          <w:bottom w:val="single" w:sz="8" w:space="0" w:color="000000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one" w:sz="4" w:space="0" w:color="000000"/>
          <w:bottom w:val="single" w:sz="8" w:space="0" w:color="000000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one" w:sz="4" w:space="0" w:color="000000"/>
          <w:bottom w:val="single" w:sz="8" w:space="0" w:color="4F81BD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one" w:sz="4" w:space="0" w:color="000000"/>
          <w:bottom w:val="single" w:sz="8" w:space="0" w:color="4F81BD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one" w:sz="4" w:space="0" w:color="000000"/>
          <w:bottom w:val="single" w:sz="8" w:space="0" w:color="9BBB59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one" w:sz="4" w:space="0" w:color="000000"/>
          <w:bottom w:val="single" w:sz="8" w:space="0" w:color="9BBB59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one" w:sz="4" w:space="0" w:color="000000"/>
          <w:bottom w:val="single" w:sz="8" w:space="0" w:color="8064A2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one" w:sz="4" w:space="0" w:color="000000"/>
          <w:bottom w:val="single" w:sz="8" w:space="0" w:color="8064A2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one" w:sz="4" w:space="0" w:color="000000"/>
          <w:bottom w:val="single" w:sz="8" w:space="0" w:color="4BACC6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one" w:sz="4" w:space="0" w:color="000000"/>
          <w:bottom w:val="single" w:sz="8" w:space="0" w:color="4BACC6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one" w:sz="4" w:space="0" w:color="000000"/>
          <w:bottom w:val="single" w:sz="8" w:space="0" w:color="F79646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one" w:sz="4" w:space="0" w:color="000000"/>
          <w:bottom w:val="single" w:sz="8" w:space="0" w:color="F79646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Arial" w:hAnsi="Calibri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Arial" w:hAnsi="Calibri" w:cs="Arial"/>
        <w:b/>
        <w:bCs/>
      </w:rPr>
      <w:tblPr/>
      <w:tcPr>
        <w:tcBorders>
          <w:top w:val="sing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ascii="Calibri" w:eastAsia="Arial" w:hAnsi="Calibri" w:cs="Arial"/>
        <w:b/>
        <w:bCs/>
      </w:rPr>
    </w:tblStylePr>
    <w:tblStylePr w:type="lastCol">
      <w:rPr>
        <w:rFonts w:ascii="Calibri" w:eastAsia="Arial" w:hAnsi="Calibri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Arial" w:hAnsi="Calibri" w:cs="Arial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Arial" w:hAnsi="Calibri" w:cs="Arial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ascii="Calibri" w:eastAsia="Arial" w:hAnsi="Calibri" w:cs="Arial"/>
        <w:b/>
        <w:bCs/>
      </w:rPr>
    </w:tblStylePr>
    <w:tblStylePr w:type="lastCol">
      <w:rPr>
        <w:rFonts w:ascii="Calibri" w:eastAsia="Arial" w:hAnsi="Calibri" w:cs="Arial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Arial" w:hAnsi="Calibri" w:cs="Arial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Arial" w:hAnsi="Calibri" w:cs="Arial"/>
        <w:b/>
        <w:bCs/>
      </w:rPr>
      <w:tblPr/>
      <w:tcPr>
        <w:tcBorders>
          <w:top w:val="sing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rFonts w:ascii="Calibri" w:eastAsia="Arial" w:hAnsi="Calibri" w:cs="Arial"/>
        <w:b/>
        <w:bCs/>
      </w:rPr>
    </w:tblStylePr>
    <w:tblStylePr w:type="lastCol">
      <w:rPr>
        <w:rFonts w:ascii="Calibri" w:eastAsia="Arial" w:hAnsi="Calibri" w:cs="Arial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Arial" w:hAnsi="Calibri" w:cs="Arial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Arial" w:hAnsi="Calibri" w:cs="Arial"/>
        <w:b/>
        <w:bCs/>
      </w:rPr>
      <w:tblPr/>
      <w:tcPr>
        <w:tcBorders>
          <w:top w:val="sing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rFonts w:ascii="Calibri" w:eastAsia="Arial" w:hAnsi="Calibri" w:cs="Arial"/>
        <w:b/>
        <w:bCs/>
      </w:rPr>
    </w:tblStylePr>
    <w:tblStylePr w:type="lastCol">
      <w:rPr>
        <w:rFonts w:ascii="Calibri" w:eastAsia="Arial" w:hAnsi="Calibri" w:cs="Arial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Arial" w:hAnsi="Calibri" w:cs="Arial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Arial" w:hAnsi="Calibri" w:cs="Arial"/>
        <w:b/>
        <w:bCs/>
      </w:rPr>
      <w:tblPr/>
      <w:tcPr>
        <w:tcBorders>
          <w:top w:val="sing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rFonts w:ascii="Calibri" w:eastAsia="Arial" w:hAnsi="Calibri" w:cs="Arial"/>
        <w:b/>
        <w:bCs/>
      </w:rPr>
    </w:tblStylePr>
    <w:tblStylePr w:type="lastCol">
      <w:rPr>
        <w:rFonts w:ascii="Calibri" w:eastAsia="Arial" w:hAnsi="Calibri" w:cs="Arial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Arial" w:hAnsi="Calibri" w:cs="Arial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Arial" w:hAnsi="Calibri" w:cs="Arial"/>
        <w:b/>
        <w:bCs/>
      </w:rPr>
      <w:tblPr/>
      <w:tcPr>
        <w:tcBorders>
          <w:top w:val="sing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rFonts w:ascii="Calibri" w:eastAsia="Arial" w:hAnsi="Calibri" w:cs="Arial"/>
        <w:b/>
        <w:bCs/>
      </w:rPr>
    </w:tblStylePr>
    <w:tblStylePr w:type="lastCol">
      <w:rPr>
        <w:rFonts w:ascii="Calibri" w:eastAsia="Arial" w:hAnsi="Calibri" w:cs="Arial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Arial" w:hAnsi="Calibri" w:cs="Arial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Arial" w:hAnsi="Calibri" w:cs="Arial"/>
        <w:b/>
        <w:bCs/>
      </w:rPr>
      <w:tblPr/>
      <w:tcPr>
        <w:tcBorders>
          <w:top w:val="sing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rFonts w:ascii="Calibri" w:eastAsia="Arial" w:hAnsi="Calibri" w:cs="Arial"/>
        <w:b/>
        <w:bCs/>
      </w:rPr>
    </w:tblStylePr>
    <w:tblStylePr w:type="lastCol">
      <w:rPr>
        <w:rFonts w:ascii="Calibri" w:eastAsia="Arial" w:hAnsi="Calibri" w:cs="Arial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/>
          <w:left w:val="single" w:sz="8" w:space="0" w:color="404040"/>
          <w:bottom w:val="single" w:sz="8" w:space="0" w:color="404040"/>
          <w:right w:val="single" w:sz="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BA0CD"/>
          <w:left w:val="single" w:sz="8" w:space="0" w:color="7BA0CD"/>
          <w:bottom w:val="single" w:sz="8" w:space="0" w:color="7BA0CD"/>
          <w:right w:val="single" w:sz="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F7B79"/>
          <w:left w:val="single" w:sz="8" w:space="0" w:color="CF7B79"/>
          <w:bottom w:val="single" w:sz="8" w:space="0" w:color="CF7B79"/>
          <w:right w:val="single" w:sz="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3CC82"/>
          <w:left w:val="single" w:sz="8" w:space="0" w:color="B3CC82"/>
          <w:bottom w:val="single" w:sz="8" w:space="0" w:color="B3CC82"/>
          <w:right w:val="single" w:sz="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F8AB9"/>
          <w:left w:val="single" w:sz="8" w:space="0" w:color="9F8AB9"/>
          <w:bottom w:val="single" w:sz="8" w:space="0" w:color="9F8AB9"/>
          <w:right w:val="single" w:sz="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9B074"/>
          <w:left w:val="single" w:sz="8" w:space="0" w:color="F9B074"/>
          <w:bottom w:val="single" w:sz="8" w:space="0" w:color="F9B074"/>
          <w:right w:val="single" w:sz="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000000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F81BD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C0504D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9BBB59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8064A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BACC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F7964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Arial" w:hAnsi="Calibri" w:cs="Arial"/>
      </w:rPr>
      <w:tblPr/>
      <w:tcPr>
        <w:tcBorders>
          <w:top w:val="none" w:sz="4" w:space="0" w:color="000000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Arial" w:hAnsi="Calibri" w:cs="Arial"/>
      </w:rPr>
      <w:tblPr/>
      <w:tcPr>
        <w:tcBorders>
          <w:top w:val="none" w:sz="4" w:space="0" w:color="000000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Arial" w:hAnsi="Calibri" w:cs="Arial"/>
      </w:rPr>
      <w:tblPr/>
      <w:tcPr>
        <w:tcBorders>
          <w:top w:val="none" w:sz="4" w:space="0" w:color="000000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Arial" w:hAnsi="Calibri" w:cs="Arial"/>
      </w:rPr>
      <w:tblPr/>
      <w:tcPr>
        <w:tcBorders>
          <w:top w:val="none" w:sz="4" w:space="0" w:color="000000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Arial" w:hAnsi="Calibri" w:cs="Arial"/>
      </w:rPr>
      <w:tblPr/>
      <w:tcPr>
        <w:tcBorders>
          <w:top w:val="none" w:sz="4" w:space="0" w:color="000000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Arial" w:hAnsi="Calibri" w:cs="Arial"/>
      </w:rPr>
      <w:tblPr/>
      <w:tcPr>
        <w:tcBorders>
          <w:top w:val="none" w:sz="4" w:space="0" w:color="000000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Arial" w:hAnsi="Calibri" w:cs="Arial"/>
      </w:rPr>
      <w:tblPr/>
      <w:tcPr>
        <w:tcBorders>
          <w:top w:val="none" w:sz="4" w:space="0" w:color="000000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/>
          <w:right w:val="none" w:sz="4" w:space="0" w:color="000000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/>
        </w:tcBorders>
        <w:shd w:val="clear" w:color="auto" w:fill="FFFFFF"/>
      </w:tcPr>
    </w:tblStylePr>
    <w:tblStylePr w:type="lastCol">
      <w:tblPr/>
      <w:tcPr>
        <w:tcBorders>
          <w:top w:val="none" w:sz="4" w:space="0" w:color="000000"/>
          <w:left w:val="single" w:sz="8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F81BD"/>
          <w:right w:val="none" w:sz="4" w:space="0" w:color="000000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F81BD"/>
        </w:tcBorders>
        <w:shd w:val="clear" w:color="auto" w:fill="FFFFFF"/>
      </w:tcPr>
    </w:tblStylePr>
    <w:tblStylePr w:type="lastCol">
      <w:tblPr/>
      <w:tcPr>
        <w:tcBorders>
          <w:top w:val="none" w:sz="4" w:space="0" w:color="000000"/>
          <w:left w:val="single" w:sz="8" w:space="0" w:color="4F81BD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/>
          <w:right w:val="none" w:sz="4" w:space="0" w:color="000000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C0504D"/>
        </w:tcBorders>
        <w:shd w:val="clear" w:color="auto" w:fill="FFFFFF"/>
      </w:tcPr>
    </w:tblStylePr>
    <w:tblStylePr w:type="lastCol">
      <w:tblPr/>
      <w:tcPr>
        <w:tcBorders>
          <w:top w:val="none" w:sz="4" w:space="0" w:color="000000"/>
          <w:left w:val="single" w:sz="8" w:space="0" w:color="C0504D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/>
          <w:right w:val="none" w:sz="4" w:space="0" w:color="000000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9BBB59"/>
        </w:tcBorders>
        <w:shd w:val="clear" w:color="auto" w:fill="FFFFFF"/>
      </w:tcPr>
    </w:tblStylePr>
    <w:tblStylePr w:type="lastCol">
      <w:tblPr/>
      <w:tcPr>
        <w:tcBorders>
          <w:top w:val="none" w:sz="4" w:space="0" w:color="000000"/>
          <w:left w:val="single" w:sz="8" w:space="0" w:color="9BBB59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/>
          <w:right w:val="none" w:sz="4" w:space="0" w:color="000000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64A2"/>
        </w:tcBorders>
        <w:shd w:val="clear" w:color="auto" w:fill="FFFFFF"/>
      </w:tcPr>
    </w:tblStylePr>
    <w:tblStylePr w:type="lastCol">
      <w:tblPr/>
      <w:tcPr>
        <w:tcBorders>
          <w:top w:val="none" w:sz="4" w:space="0" w:color="000000"/>
          <w:left w:val="single" w:sz="8" w:space="0" w:color="8064A2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/>
          <w:right w:val="none" w:sz="4" w:space="0" w:color="000000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BACC6"/>
        </w:tcBorders>
        <w:shd w:val="clear" w:color="auto" w:fill="FFFFFF"/>
      </w:tcPr>
    </w:tblStylePr>
    <w:tblStylePr w:type="lastCol">
      <w:tblPr/>
      <w:tcPr>
        <w:tcBorders>
          <w:top w:val="none" w:sz="4" w:space="0" w:color="000000"/>
          <w:left w:val="single" w:sz="8" w:space="0" w:color="4BACC6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/>
          <w:right w:val="none" w:sz="4" w:space="0" w:color="000000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F79646"/>
        </w:tcBorders>
        <w:shd w:val="clear" w:color="auto" w:fill="FFFFFF"/>
      </w:tcPr>
    </w:tblStylePr>
    <w:tblStylePr w:type="lastCol">
      <w:tblPr/>
      <w:tcPr>
        <w:tcBorders>
          <w:top w:val="none" w:sz="4" w:space="0" w:color="000000"/>
          <w:left w:val="single" w:sz="8" w:space="0" w:color="F79646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one" w:sz="4" w:space="0" w:color="000000"/>
          <w:left w:val="single" w:sz="24" w:space="0" w:color="FFFFFF"/>
          <w:bottom w:val="none" w:sz="4" w:space="0" w:color="000000"/>
          <w:right w:val="none" w:sz="4" w:space="0" w:color="000000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one" w:sz="4" w:space="0" w:color="000000"/>
          <w:left w:val="single" w:sz="24" w:space="0" w:color="FFFFFF"/>
          <w:bottom w:val="none" w:sz="4" w:space="0" w:color="000000"/>
          <w:right w:val="none" w:sz="4" w:space="0" w:color="000000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one" w:sz="4" w:space="0" w:color="000000"/>
          <w:left w:val="single" w:sz="24" w:space="0" w:color="FFFFFF"/>
          <w:bottom w:val="none" w:sz="4" w:space="0" w:color="000000"/>
          <w:right w:val="none" w:sz="4" w:space="0" w:color="000000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one" w:sz="4" w:space="0" w:color="000000"/>
          <w:left w:val="single" w:sz="24" w:space="0" w:color="FFFFFF"/>
          <w:bottom w:val="none" w:sz="4" w:space="0" w:color="000000"/>
          <w:right w:val="none" w:sz="4" w:space="0" w:color="000000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one" w:sz="4" w:space="0" w:color="000000"/>
          <w:left w:val="single" w:sz="24" w:space="0" w:color="FFFFFF"/>
          <w:bottom w:val="none" w:sz="4" w:space="0" w:color="000000"/>
          <w:right w:val="none" w:sz="4" w:space="0" w:color="000000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one" w:sz="4" w:space="0" w:color="000000"/>
          <w:left w:val="single" w:sz="24" w:space="0" w:color="FFFFFF"/>
          <w:bottom w:val="none" w:sz="4" w:space="0" w:color="000000"/>
          <w:right w:val="none" w:sz="4" w:space="0" w:color="000000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one" w:sz="4" w:space="0" w:color="000000"/>
          <w:left w:val="single" w:sz="24" w:space="0" w:color="FFFFFF"/>
          <w:bottom w:val="none" w:sz="4" w:space="0" w:color="000000"/>
          <w:right w:val="none" w:sz="4" w:space="0" w:color="000000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/>
          <w:right w:val="none" w:sz="4" w:space="0" w:color="000000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/>
        </w:tcBorders>
        <w:shd w:val="clear" w:color="auto" w:fill="000000"/>
      </w:tcPr>
    </w:tblStylePr>
    <w:tblStylePr w:type="lastCol">
      <w:tblPr/>
      <w:tcPr>
        <w:tcBorders>
          <w:top w:val="none" w:sz="4" w:space="0" w:color="000000"/>
          <w:left w:val="single" w:sz="18" w:space="0" w:color="FFFFFF"/>
          <w:bottom w:val="none" w:sz="4" w:space="0" w:color="000000"/>
          <w:right w:val="none" w:sz="4" w:space="0" w:color="000000"/>
        </w:tcBorders>
        <w:shd w:val="clear" w:color="auto" w:fill="000000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/>
          <w:right w:val="none" w:sz="4" w:space="0" w:color="000000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43F60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/>
        </w:tcBorders>
        <w:shd w:val="clear" w:color="auto" w:fill="365F91"/>
      </w:tcPr>
    </w:tblStylePr>
    <w:tblStylePr w:type="lastCol">
      <w:tblPr/>
      <w:tcPr>
        <w:tcBorders>
          <w:top w:val="none" w:sz="4" w:space="0" w:color="000000"/>
          <w:left w:val="single" w:sz="18" w:space="0" w:color="FFFFFF"/>
          <w:bottom w:val="none" w:sz="4" w:space="0" w:color="000000"/>
          <w:right w:val="none" w:sz="4" w:space="0" w:color="000000"/>
        </w:tcBorders>
        <w:shd w:val="clear" w:color="auto" w:fill="365F91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/>
          <w:right w:val="none" w:sz="4" w:space="0" w:color="000000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622423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/>
        </w:tcBorders>
        <w:shd w:val="clear" w:color="auto" w:fill="943634"/>
      </w:tcPr>
    </w:tblStylePr>
    <w:tblStylePr w:type="lastCol">
      <w:tblPr/>
      <w:tcPr>
        <w:tcBorders>
          <w:top w:val="none" w:sz="4" w:space="0" w:color="000000"/>
          <w:left w:val="single" w:sz="18" w:space="0" w:color="FFFFFF"/>
          <w:bottom w:val="none" w:sz="4" w:space="0" w:color="000000"/>
          <w:right w:val="none" w:sz="4" w:space="0" w:color="000000"/>
        </w:tcBorders>
        <w:shd w:val="clear" w:color="auto" w:fill="943634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/>
          <w:right w:val="none" w:sz="4" w:space="0" w:color="000000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E6128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/>
        </w:tcBorders>
        <w:shd w:val="clear" w:color="auto" w:fill="76923C"/>
      </w:tcPr>
    </w:tblStylePr>
    <w:tblStylePr w:type="lastCol">
      <w:tblPr/>
      <w:tcPr>
        <w:tcBorders>
          <w:top w:val="none" w:sz="4" w:space="0" w:color="000000"/>
          <w:left w:val="single" w:sz="18" w:space="0" w:color="FFFFFF"/>
          <w:bottom w:val="none" w:sz="4" w:space="0" w:color="000000"/>
          <w:right w:val="none" w:sz="4" w:space="0" w:color="000000"/>
        </w:tcBorders>
        <w:shd w:val="clear" w:color="auto" w:fill="76923C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/>
          <w:right w:val="none" w:sz="4" w:space="0" w:color="000000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F315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/>
        </w:tcBorders>
        <w:shd w:val="clear" w:color="auto" w:fill="5F497A"/>
      </w:tcPr>
    </w:tblStylePr>
    <w:tblStylePr w:type="lastCol">
      <w:tblPr/>
      <w:tcPr>
        <w:tcBorders>
          <w:top w:val="none" w:sz="4" w:space="0" w:color="000000"/>
          <w:left w:val="single" w:sz="18" w:space="0" w:color="FFFFFF"/>
          <w:bottom w:val="none" w:sz="4" w:space="0" w:color="000000"/>
          <w:right w:val="none" w:sz="4" w:space="0" w:color="000000"/>
        </w:tcBorders>
        <w:shd w:val="clear" w:color="auto" w:fill="5F497A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/>
          <w:right w:val="none" w:sz="4" w:space="0" w:color="000000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05867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/>
        </w:tcBorders>
        <w:shd w:val="clear" w:color="auto" w:fill="31849B"/>
      </w:tcPr>
    </w:tblStylePr>
    <w:tblStylePr w:type="lastCol">
      <w:tblPr/>
      <w:tcPr>
        <w:tcBorders>
          <w:top w:val="none" w:sz="4" w:space="0" w:color="000000"/>
          <w:left w:val="single" w:sz="18" w:space="0" w:color="FFFFFF"/>
          <w:bottom w:val="none" w:sz="4" w:space="0" w:color="000000"/>
          <w:right w:val="none" w:sz="4" w:space="0" w:color="000000"/>
        </w:tcBorders>
        <w:shd w:val="clear" w:color="auto" w:fill="31849B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/>
          <w:right w:val="none" w:sz="4" w:space="0" w:color="000000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74706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/>
        </w:tcBorders>
        <w:shd w:val="clear" w:color="auto" w:fill="E36C0A"/>
      </w:tcPr>
    </w:tblStylePr>
    <w:tblStylePr w:type="lastCol">
      <w:tblPr/>
      <w:tcPr>
        <w:tcBorders>
          <w:top w:val="none" w:sz="4" w:space="0" w:color="000000"/>
          <w:left w:val="single" w:sz="18" w:space="0" w:color="FFFFFF"/>
          <w:bottom w:val="none" w:sz="4" w:space="0" w:color="000000"/>
          <w:right w:val="none" w:sz="4" w:space="0" w:color="000000"/>
        </w:tcBorders>
        <w:shd w:val="clear" w:color="auto" w:fill="E36C0A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/>
      </w:tcPr>
    </w:tblStylePr>
  </w:style>
  <w:style w:type="table" w:styleId="Colou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/>
          <w:right w:val="none" w:sz="4" w:space="0" w:color="000000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urfulShading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/>
          <w:right w:val="none" w:sz="4" w:space="0" w:color="000000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urfulShading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/>
          <w:right w:val="none" w:sz="4" w:space="0" w:color="000000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urfulShading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/>
          <w:right w:val="none" w:sz="4" w:space="0" w:color="000000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urfulShading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/>
          <w:right w:val="none" w:sz="4" w:space="0" w:color="000000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urfulShading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/>
          <w:right w:val="none" w:sz="4" w:space="0" w:color="000000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urfulShading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/>
          <w:right w:val="none" w:sz="4" w:space="0" w:color="000000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u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urfulList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urfulList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urfulList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urfulList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urfulList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urfulList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u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urfulGrid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urfulGrid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urfulGrid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urfulGrid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urfulGrid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urfulGrid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E245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lamyalbert/volve-production-dat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B0B723A-DB92-4196-89D9-67B542D18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284</Words>
  <Characters>2100</Characters>
  <Application>Microsoft Office Word</Application>
  <DocSecurity>0</DocSecurity>
  <Lines>47</Lines>
  <Paragraphs>31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Egor Udalov</cp:lastModifiedBy>
  <cp:revision>17</cp:revision>
  <dcterms:created xsi:type="dcterms:W3CDTF">2026-06-17T12:30:00Z</dcterms:created>
  <dcterms:modified xsi:type="dcterms:W3CDTF">2026-06-23T12:32:00Z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3ab36c669fdb4b0a887d0332c42aa28e_23</vt:lpwstr>
  </property>
</Properties>
</file>