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74C19" w14:textId="5BA352B2" w:rsidR="00195D41" w:rsidRPr="00195D41" w:rsidRDefault="00195D41" w:rsidP="00195D41">
      <w:proofErr w:type="spellStart"/>
      <w:r w:rsidRPr="00195D41">
        <w:rPr>
          <w:highlight w:val="green"/>
        </w:rPr>
        <w:t>Pre</w:t>
      </w:r>
      <w:r>
        <w:rPr>
          <w:highlight w:val="green"/>
        </w:rPr>
        <w:t>g</w:t>
      </w:r>
      <w:proofErr w:type="spellEnd"/>
      <w:r>
        <w:rPr>
          <w:highlight w:val="green"/>
        </w:rPr>
        <w:t xml:space="preserve"> 4</w:t>
      </w:r>
    </w:p>
    <w:p w14:paraId="39ABCF5F" w14:textId="77777777" w:rsidR="00195D41" w:rsidRDefault="00195D41"/>
    <w:p w14:paraId="62082136" w14:textId="4E419FFE" w:rsidR="00D82741" w:rsidRDefault="00195D41">
      <w:r>
        <w:t>P1.2.3</w:t>
      </w:r>
      <w:r w:rsidR="009B3DF8">
        <w:t xml:space="preserve">. </w:t>
      </w:r>
      <w:r w:rsidR="009B3DF8" w:rsidRPr="009B3DF8">
        <w:t>The New York Times article considers the bottom third (the lowest or coldest one-third) of temperature anomalies in 1951–1980 as ‘cold’ and the top third (the highest or hottest one-third) of anomalies as ‘hot’. In decile terms, temperatures in the 1st to 3rd decile are ‘cold’ and temperatures in the 7th to 10th decile or above are ‘hot’ (rounded to the nearest decile). Use R’s quantile function to determine what values correspond to the 3rd and 7th decile across all months in 1951–1980.</w:t>
      </w:r>
    </w:p>
    <w:p w14:paraId="46A3A89E" w14:textId="6598707B" w:rsidR="009B3DF8" w:rsidRDefault="009B3DF8">
      <w:r>
        <w:t xml:space="preserve">P1.2.4. </w:t>
      </w:r>
      <w:r w:rsidRPr="009B3DF8">
        <w:t xml:space="preserve">Based on the values you found in Question 3, count the number of anomalies that are considered ‘hot’ in 1981–2010, and express this as a percentage of all the temperature observations in that period. </w:t>
      </w:r>
      <w:r w:rsidRPr="009B3DF8">
        <w:rPr>
          <w:highlight w:val="yellow"/>
        </w:rPr>
        <w:t>Does your answer suggest that we are experiencing hotter weather more frequently in 1981–2010?</w:t>
      </w:r>
      <w:r w:rsidRPr="009B3DF8">
        <w:t xml:space="preserve"> (Remember that each decile represents 10% of observations, so 30% of temperatures were considered ‘hot’ in 1951–1980.)</w:t>
      </w:r>
    </w:p>
    <w:p w14:paraId="4D3A8D48" w14:textId="77777777" w:rsidR="009B3DF8" w:rsidRPr="009B3DF8" w:rsidRDefault="009B3DF8" w:rsidP="009B3DF8">
      <w:r>
        <w:t xml:space="preserve">P1.2.5. </w:t>
      </w:r>
      <w:r w:rsidRPr="009B3DF8">
        <w:t xml:space="preserve">    The New York Times article discusses whether temperatures have become more variable over time. One way to measure temperature variability is by calculating the variance of the temperature distribution. For each season (DJF, MAM, JJA, and SON):</w:t>
      </w:r>
    </w:p>
    <w:p w14:paraId="256322BC" w14:textId="77777777" w:rsidR="009B3DF8" w:rsidRDefault="009B3DF8" w:rsidP="009B3DF8">
      <w:pPr>
        <w:pStyle w:val="ListParagraph"/>
        <w:numPr>
          <w:ilvl w:val="0"/>
          <w:numId w:val="3"/>
        </w:numPr>
        <w:rPr>
          <w:lang w:val="en-US"/>
        </w:rPr>
      </w:pPr>
      <w:r w:rsidRPr="009B3DF8">
        <w:rPr>
          <w:lang w:val="en-US"/>
        </w:rPr>
        <w:t>Calculate the mean (average) and variance separately for the following time periods: 1921–1950, 1951–1980, and 1981–2010.</w:t>
      </w:r>
    </w:p>
    <w:p w14:paraId="269D8066" w14:textId="67383F9D" w:rsidR="00D82741" w:rsidRDefault="009B3DF8" w:rsidP="009B3DF8">
      <w:pPr>
        <w:pStyle w:val="ListParagraph"/>
        <w:numPr>
          <w:ilvl w:val="0"/>
          <w:numId w:val="3"/>
        </w:numPr>
        <w:rPr>
          <w:lang w:val="en-US"/>
        </w:rPr>
      </w:pPr>
      <w:r w:rsidRPr="009B3DF8">
        <w:rPr>
          <w:lang w:val="en-US"/>
        </w:rPr>
        <w:t xml:space="preserve">For each season, </w:t>
      </w:r>
      <w:r w:rsidRPr="009B3DF8">
        <w:rPr>
          <w:highlight w:val="yellow"/>
          <w:lang w:val="en-US"/>
        </w:rPr>
        <w:t>compare the variances in different periods, and explain whether or not temperature appears to be more variable in later periods.</w:t>
      </w:r>
    </w:p>
    <w:p w14:paraId="73ED6883" w14:textId="519030C9" w:rsidR="009B3DF8" w:rsidRDefault="009B3DF8" w:rsidP="009B3DF8">
      <w:r>
        <w:t xml:space="preserve">P1.2.6. </w:t>
      </w:r>
      <w:r w:rsidRPr="009B3DF8">
        <w:t xml:space="preserve">Using the findings of the New York Times article and your answers to Questions 1 to 5, discuss whether temperature appears to be more variable over time. </w:t>
      </w:r>
      <w:r w:rsidRPr="009B3DF8">
        <w:rPr>
          <w:highlight w:val="yellow"/>
        </w:rPr>
        <w:t>Would you advise the government to spend more money on mitigating the effects of extreme weather events?</w:t>
      </w:r>
    </w:p>
    <w:p w14:paraId="449D81BF" w14:textId="77777777" w:rsidR="009B3DF8" w:rsidRDefault="009B3DF8" w:rsidP="009B3DF8">
      <w:pPr>
        <w:rPr>
          <w:b/>
          <w:bCs/>
        </w:rPr>
      </w:pPr>
    </w:p>
    <w:p w14:paraId="03C0B458" w14:textId="77777777" w:rsidR="00B86523" w:rsidRPr="00B86523" w:rsidRDefault="00B86523" w:rsidP="00B86523">
      <w:pPr>
        <w:pStyle w:val="p1"/>
        <w:rPr>
          <w:lang w:val="es-ES"/>
        </w:rPr>
      </w:pPr>
      <w:r w:rsidRPr="00B86523">
        <w:rPr>
          <w:b/>
          <w:bCs/>
          <w:lang w:val="es-ES"/>
        </w:rPr>
        <w:t>P1.2.3. Determinar valores del 3er y 7º decil para 1951–1980</w:t>
      </w:r>
    </w:p>
    <w:p w14:paraId="12D34905" w14:textId="77777777" w:rsidR="00B86523" w:rsidRPr="00B86523" w:rsidRDefault="00B86523" w:rsidP="00B86523">
      <w:pPr>
        <w:pStyle w:val="p2"/>
        <w:rPr>
          <w:lang w:val="es-ES"/>
        </w:rPr>
      </w:pPr>
    </w:p>
    <w:p w14:paraId="4EA50F5F" w14:textId="77777777" w:rsidR="00B86523" w:rsidRPr="00B86523" w:rsidRDefault="00B86523" w:rsidP="00B86523">
      <w:pPr>
        <w:pStyle w:val="p3"/>
        <w:rPr>
          <w:lang w:val="es-ES"/>
        </w:rPr>
      </w:pPr>
      <w:r w:rsidRPr="00B86523">
        <w:rPr>
          <w:b/>
          <w:bCs/>
          <w:lang w:val="es-ES"/>
        </w:rPr>
        <w:t>Resultados</w:t>
      </w:r>
    </w:p>
    <w:p w14:paraId="2D4B7F16"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 xml:space="preserve">3rd </w:t>
      </w:r>
      <w:proofErr w:type="spellStart"/>
      <w:r w:rsidRPr="00B86523">
        <w:rPr>
          <w:lang w:val="es-ES"/>
        </w:rPr>
        <w:t>decile</w:t>
      </w:r>
      <w:proofErr w:type="spellEnd"/>
      <w:r w:rsidRPr="00B86523">
        <w:rPr>
          <w:lang w:val="es-ES"/>
        </w:rPr>
        <w:t xml:space="preserve"> (30%): </w:t>
      </w:r>
      <w:r w:rsidRPr="00B86523">
        <w:rPr>
          <w:rStyle w:val="s1"/>
          <w:b/>
          <w:bCs/>
          <w:lang w:val="es-ES"/>
        </w:rPr>
        <w:t>-0.1</w:t>
      </w:r>
    </w:p>
    <w:p w14:paraId="44574516"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 xml:space="preserve">7th </w:t>
      </w:r>
      <w:proofErr w:type="spellStart"/>
      <w:r w:rsidRPr="00B86523">
        <w:rPr>
          <w:lang w:val="es-ES"/>
        </w:rPr>
        <w:t>decile</w:t>
      </w:r>
      <w:proofErr w:type="spellEnd"/>
      <w:r w:rsidRPr="00B86523">
        <w:rPr>
          <w:lang w:val="es-ES"/>
        </w:rPr>
        <w:t xml:space="preserve"> (70%): </w:t>
      </w:r>
      <w:r w:rsidRPr="00B86523">
        <w:rPr>
          <w:rStyle w:val="s1"/>
          <w:b/>
          <w:bCs/>
          <w:lang w:val="es-ES"/>
        </w:rPr>
        <w:t>0.1</w:t>
      </w:r>
    </w:p>
    <w:p w14:paraId="63022B84" w14:textId="77777777" w:rsidR="00B86523" w:rsidRPr="00B86523" w:rsidRDefault="00B86523" w:rsidP="00B86523">
      <w:pPr>
        <w:pStyle w:val="p2"/>
        <w:rPr>
          <w:lang w:val="es-ES"/>
        </w:rPr>
      </w:pPr>
    </w:p>
    <w:p w14:paraId="654C4E94" w14:textId="77777777" w:rsidR="00B86523" w:rsidRPr="00B86523" w:rsidRDefault="00B86523" w:rsidP="00B86523">
      <w:pPr>
        <w:pStyle w:val="p3"/>
        <w:rPr>
          <w:lang w:val="es-ES"/>
        </w:rPr>
      </w:pPr>
      <w:r w:rsidRPr="00B86523">
        <w:rPr>
          <w:b/>
          <w:bCs/>
          <w:lang w:val="es-ES"/>
        </w:rPr>
        <w:t>Interpretación</w:t>
      </w:r>
    </w:p>
    <w:p w14:paraId="3B6F659F" w14:textId="77777777" w:rsidR="00B86523" w:rsidRPr="00B86523" w:rsidRDefault="00B86523" w:rsidP="00B86523">
      <w:pPr>
        <w:pStyle w:val="p5"/>
        <w:rPr>
          <w:lang w:val="es-ES"/>
        </w:rPr>
      </w:pPr>
      <w:r w:rsidRPr="00B86523">
        <w:rPr>
          <w:lang w:val="es-ES"/>
        </w:rPr>
        <w:t>Estos valores indican que en el periodo 1951–1980:</w:t>
      </w:r>
    </w:p>
    <w:p w14:paraId="3B9A6725"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Las anomalías de temperatura por debajo de corresponden al tercio “frío” (</w:t>
      </w:r>
      <w:proofErr w:type="spellStart"/>
      <w:r w:rsidRPr="00B86523">
        <w:rPr>
          <w:lang w:val="es-ES"/>
        </w:rPr>
        <w:t>lowest</w:t>
      </w:r>
      <w:proofErr w:type="spellEnd"/>
      <w:r w:rsidRPr="00B86523">
        <w:rPr>
          <w:lang w:val="es-ES"/>
        </w:rPr>
        <w:t xml:space="preserve"> 30%).</w:t>
      </w:r>
    </w:p>
    <w:p w14:paraId="2D73BCE0"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Las anomalías por encima de corresponden al tercio “caliente” (top 30%).</w:t>
      </w:r>
    </w:p>
    <w:p w14:paraId="4C21AD53" w14:textId="77777777" w:rsidR="00B86523" w:rsidRPr="00B86523" w:rsidRDefault="00B86523" w:rsidP="00B86523">
      <w:pPr>
        <w:pStyle w:val="p2"/>
        <w:rPr>
          <w:lang w:val="es-ES"/>
        </w:rPr>
      </w:pPr>
    </w:p>
    <w:p w14:paraId="43031BB9" w14:textId="77777777" w:rsidR="00B86523" w:rsidRPr="00B86523" w:rsidRDefault="00B86523" w:rsidP="00B86523">
      <w:pPr>
        <w:pStyle w:val="p5"/>
        <w:rPr>
          <w:lang w:val="es-ES"/>
        </w:rPr>
      </w:pPr>
      <w:r w:rsidRPr="00B86523">
        <w:rPr>
          <w:lang w:val="es-ES"/>
        </w:rPr>
        <w:lastRenderedPageBreak/>
        <w:t xml:space="preserve">En ese periodo base, </w:t>
      </w:r>
      <w:r w:rsidRPr="00B86523">
        <w:rPr>
          <w:rStyle w:val="s1"/>
          <w:b/>
          <w:bCs/>
          <w:lang w:val="es-ES"/>
        </w:rPr>
        <w:t>30%</w:t>
      </w:r>
      <w:r w:rsidRPr="00B86523">
        <w:rPr>
          <w:lang w:val="es-ES"/>
        </w:rPr>
        <w:t xml:space="preserve"> de las observaciones estaban por encima de y, por convenio, se consideraban “</w:t>
      </w:r>
      <w:proofErr w:type="spellStart"/>
      <w:r w:rsidRPr="00B86523">
        <w:rPr>
          <w:lang w:val="es-ES"/>
        </w:rPr>
        <w:t>hot</w:t>
      </w:r>
      <w:proofErr w:type="spellEnd"/>
      <w:r w:rsidRPr="00B86523">
        <w:rPr>
          <w:lang w:val="es-ES"/>
        </w:rPr>
        <w:t>”.</w:t>
      </w:r>
    </w:p>
    <w:p w14:paraId="694B687D" w14:textId="77777777" w:rsidR="00B86523" w:rsidRPr="00B86523" w:rsidRDefault="00B86523" w:rsidP="00B86523">
      <w:pPr>
        <w:pStyle w:val="p1"/>
        <w:rPr>
          <w:lang w:val="es-ES"/>
        </w:rPr>
      </w:pPr>
      <w:r w:rsidRPr="00B86523">
        <w:rPr>
          <w:b/>
          <w:bCs/>
          <w:lang w:val="es-ES"/>
        </w:rPr>
        <w:t>P1.2.4. Porcentaje de anomalías “</w:t>
      </w:r>
      <w:proofErr w:type="spellStart"/>
      <w:r w:rsidRPr="00B86523">
        <w:rPr>
          <w:b/>
          <w:bCs/>
          <w:lang w:val="es-ES"/>
        </w:rPr>
        <w:t>hot</w:t>
      </w:r>
      <w:proofErr w:type="spellEnd"/>
      <w:r w:rsidRPr="00B86523">
        <w:rPr>
          <w:b/>
          <w:bCs/>
          <w:lang w:val="es-ES"/>
        </w:rPr>
        <w:t>” en 1981–2010</w:t>
      </w:r>
    </w:p>
    <w:p w14:paraId="0CF46CEA" w14:textId="77777777" w:rsidR="00B86523" w:rsidRPr="00B86523" w:rsidRDefault="00B86523" w:rsidP="00B86523">
      <w:pPr>
        <w:pStyle w:val="p2"/>
        <w:rPr>
          <w:lang w:val="es-ES"/>
        </w:rPr>
      </w:pPr>
    </w:p>
    <w:p w14:paraId="1802F6E5" w14:textId="77777777" w:rsidR="00B86523" w:rsidRPr="00B86523" w:rsidRDefault="00B86523" w:rsidP="00B86523">
      <w:pPr>
        <w:pStyle w:val="p3"/>
        <w:rPr>
          <w:lang w:val="es-ES"/>
        </w:rPr>
      </w:pPr>
      <w:r w:rsidRPr="00B86523">
        <w:rPr>
          <w:b/>
          <w:bCs/>
          <w:lang w:val="es-ES"/>
        </w:rPr>
        <w:t>Resultado</w:t>
      </w:r>
    </w:p>
    <w:p w14:paraId="44C67746"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Porcentaje de anomalías ≥ 0.1 (umbral “</w:t>
      </w:r>
      <w:proofErr w:type="spellStart"/>
      <w:r w:rsidRPr="00B86523">
        <w:rPr>
          <w:lang w:val="es-ES"/>
        </w:rPr>
        <w:t>hot</w:t>
      </w:r>
      <w:proofErr w:type="spellEnd"/>
      <w:r w:rsidRPr="00B86523">
        <w:rPr>
          <w:lang w:val="es-ES"/>
        </w:rPr>
        <w:t xml:space="preserve">”) en 1981–2010: </w:t>
      </w:r>
      <w:r w:rsidRPr="00B86523">
        <w:rPr>
          <w:rStyle w:val="s1"/>
          <w:b/>
          <w:bCs/>
          <w:lang w:val="es-ES"/>
        </w:rPr>
        <w:t>85%</w:t>
      </w:r>
      <w:r w:rsidRPr="00B86523">
        <w:rPr>
          <w:lang w:val="es-ES"/>
        </w:rPr>
        <w:t>.</w:t>
      </w:r>
    </w:p>
    <w:p w14:paraId="0CDA883B" w14:textId="77777777" w:rsidR="00B86523" w:rsidRPr="00B86523" w:rsidRDefault="00B86523" w:rsidP="00B86523">
      <w:pPr>
        <w:pStyle w:val="p2"/>
        <w:rPr>
          <w:lang w:val="es-ES"/>
        </w:rPr>
      </w:pPr>
    </w:p>
    <w:p w14:paraId="36A90412" w14:textId="77777777" w:rsidR="00B86523" w:rsidRPr="00B86523" w:rsidRDefault="00B86523" w:rsidP="00B86523">
      <w:pPr>
        <w:pStyle w:val="p3"/>
        <w:rPr>
          <w:lang w:val="es-ES"/>
        </w:rPr>
      </w:pPr>
      <w:r w:rsidRPr="00B86523">
        <w:rPr>
          <w:b/>
          <w:bCs/>
          <w:lang w:val="es-ES"/>
        </w:rPr>
        <w:t>Interpretación</w:t>
      </w:r>
    </w:p>
    <w:p w14:paraId="0D0DE8B4" w14:textId="77777777" w:rsidR="00B86523" w:rsidRPr="00B86523" w:rsidRDefault="00B86523" w:rsidP="00B86523">
      <w:pPr>
        <w:pStyle w:val="p5"/>
        <w:rPr>
          <w:lang w:val="es-ES"/>
        </w:rPr>
      </w:pPr>
      <w:r w:rsidRPr="00B86523">
        <w:rPr>
          <w:lang w:val="es-ES"/>
        </w:rPr>
        <w:t xml:space="preserve">En 1951–1980, solo el 30% de las anomalías </w:t>
      </w:r>
      <w:proofErr w:type="gramStart"/>
      <w:r w:rsidRPr="00B86523">
        <w:rPr>
          <w:lang w:val="es-ES"/>
        </w:rPr>
        <w:t>superaban .</w:t>
      </w:r>
      <w:proofErr w:type="gramEnd"/>
      <w:r w:rsidRPr="00B86523">
        <w:rPr>
          <w:lang w:val="es-ES"/>
        </w:rPr>
        <w:t xml:space="preserve"> Ahora, en 1981–2010, el </w:t>
      </w:r>
      <w:r w:rsidRPr="00B86523">
        <w:rPr>
          <w:rStyle w:val="s1"/>
          <w:b/>
          <w:bCs/>
          <w:lang w:val="es-ES"/>
        </w:rPr>
        <w:t>85%</w:t>
      </w:r>
      <w:r w:rsidRPr="00B86523">
        <w:rPr>
          <w:lang w:val="es-ES"/>
        </w:rPr>
        <w:t xml:space="preserve"> de las observaciones mensuales está por encima de ese mismo umbral. Esto es un incremento muy significativo y sugiere que las temperaturas “calientes” ocurren con </w:t>
      </w:r>
      <w:r w:rsidRPr="00B86523">
        <w:rPr>
          <w:rStyle w:val="s1"/>
          <w:b/>
          <w:bCs/>
          <w:lang w:val="es-ES"/>
        </w:rPr>
        <w:t>muchísima</w:t>
      </w:r>
      <w:r w:rsidRPr="00B86523">
        <w:rPr>
          <w:lang w:val="es-ES"/>
        </w:rPr>
        <w:t xml:space="preserve"> más frecuencia en 1981–2010 que en el periodo base.</w:t>
      </w:r>
    </w:p>
    <w:p w14:paraId="69A503C6" w14:textId="77777777" w:rsidR="00B86523" w:rsidRPr="00B86523" w:rsidRDefault="00B86523" w:rsidP="00B86523">
      <w:pPr>
        <w:pStyle w:val="p1"/>
        <w:rPr>
          <w:lang w:val="es-ES"/>
        </w:rPr>
      </w:pPr>
      <w:r w:rsidRPr="00B86523">
        <w:rPr>
          <w:b/>
          <w:bCs/>
          <w:lang w:val="es-ES"/>
        </w:rPr>
        <w:t>P1.2.5. Variabilidad de la temperatura por estación (DJF, MAM, JJA, SON)</w:t>
      </w:r>
    </w:p>
    <w:p w14:paraId="7A8EC095" w14:textId="77777777" w:rsidR="00B86523" w:rsidRPr="00B86523" w:rsidRDefault="00B86523" w:rsidP="00B86523">
      <w:pPr>
        <w:pStyle w:val="p2"/>
        <w:rPr>
          <w:lang w:val="es-ES"/>
        </w:rPr>
      </w:pPr>
    </w:p>
    <w:p w14:paraId="517F056B" w14:textId="77777777" w:rsidR="00B86523" w:rsidRPr="00B86523" w:rsidRDefault="00B86523" w:rsidP="00B86523">
      <w:pPr>
        <w:pStyle w:val="p3"/>
        <w:rPr>
          <w:lang w:val="es-ES"/>
        </w:rPr>
      </w:pPr>
      <w:r w:rsidRPr="00B86523">
        <w:rPr>
          <w:lang w:val="es-ES"/>
        </w:rPr>
        <w:t>El objetivo es ver si la temperatura se ha vuelto más variable, calculando media y varianza en tres periodos (1921–1950, 1951–1980, 1981–2010).</w:t>
      </w:r>
    </w:p>
    <w:p w14:paraId="10FFCC4A" w14:textId="77777777" w:rsidR="00B86523" w:rsidRPr="00B86523" w:rsidRDefault="00B86523" w:rsidP="00B86523">
      <w:pPr>
        <w:pStyle w:val="p2"/>
        <w:rPr>
          <w:lang w:val="es-ES"/>
        </w:rPr>
      </w:pPr>
    </w:p>
    <w:p w14:paraId="404CF45F" w14:textId="77777777" w:rsidR="00B86523" w:rsidRPr="00B86523" w:rsidRDefault="00B86523" w:rsidP="00B86523">
      <w:pPr>
        <w:pStyle w:val="p4"/>
        <w:rPr>
          <w:lang w:val="es-ES"/>
        </w:rPr>
      </w:pPr>
      <w:r w:rsidRPr="00B86523">
        <w:rPr>
          <w:b/>
          <w:bCs/>
          <w:lang w:val="es-ES"/>
        </w:rPr>
        <w:t>Tabla de resultados</w:t>
      </w:r>
      <w:r w:rsidRPr="00B86523">
        <w:rPr>
          <w:rStyle w:val="s1"/>
          <w:lang w:val="es-ES"/>
        </w:rPr>
        <w:t xml:space="preserve"> (extraída de tu </w:t>
      </w:r>
      <w:proofErr w:type="spellStart"/>
      <w:r w:rsidRPr="00B86523">
        <w:rPr>
          <w:rStyle w:val="s2"/>
          <w:lang w:val="es-ES"/>
        </w:rPr>
        <w:t>df_stats</w:t>
      </w:r>
      <w:proofErr w:type="spellEnd"/>
      <w:r w:rsidRPr="00B86523">
        <w:rPr>
          <w:rStyle w:val="s1"/>
          <w:lang w:val="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4"/>
        <w:gridCol w:w="1055"/>
        <w:gridCol w:w="892"/>
        <w:gridCol w:w="1216"/>
        <w:gridCol w:w="1055"/>
        <w:gridCol w:w="1031"/>
        <w:gridCol w:w="870"/>
        <w:gridCol w:w="1101"/>
        <w:gridCol w:w="954"/>
      </w:tblGrid>
      <w:tr w:rsidR="00B86523" w14:paraId="595E6ACA" w14:textId="77777777" w:rsidTr="00B86523">
        <w:trPr>
          <w:tblHeader/>
          <w:tblCellSpacing w:w="15" w:type="dxa"/>
        </w:trPr>
        <w:tc>
          <w:tcPr>
            <w:tcW w:w="0" w:type="auto"/>
            <w:vAlign w:val="center"/>
            <w:hideMark/>
          </w:tcPr>
          <w:p w14:paraId="6347B0E8" w14:textId="77777777" w:rsidR="00B86523" w:rsidRDefault="00B86523">
            <w:pPr>
              <w:pStyle w:val="p1"/>
              <w:jc w:val="center"/>
              <w:rPr>
                <w:b/>
                <w:bCs/>
              </w:rPr>
            </w:pPr>
            <w:r>
              <w:rPr>
                <w:b/>
                <w:bCs/>
              </w:rPr>
              <w:t>Period</w:t>
            </w:r>
          </w:p>
        </w:tc>
        <w:tc>
          <w:tcPr>
            <w:tcW w:w="0" w:type="auto"/>
            <w:vAlign w:val="center"/>
            <w:hideMark/>
          </w:tcPr>
          <w:p w14:paraId="505AB0A9" w14:textId="77777777" w:rsidR="00B86523" w:rsidRDefault="00B86523">
            <w:pPr>
              <w:pStyle w:val="p1"/>
              <w:jc w:val="center"/>
              <w:rPr>
                <w:b/>
                <w:bCs/>
              </w:rPr>
            </w:pPr>
            <w:proofErr w:type="spellStart"/>
            <w:r>
              <w:rPr>
                <w:b/>
                <w:bCs/>
              </w:rPr>
              <w:t>Mean_DJF</w:t>
            </w:r>
            <w:proofErr w:type="spellEnd"/>
          </w:p>
        </w:tc>
        <w:tc>
          <w:tcPr>
            <w:tcW w:w="0" w:type="auto"/>
            <w:vAlign w:val="center"/>
            <w:hideMark/>
          </w:tcPr>
          <w:p w14:paraId="42383151" w14:textId="77777777" w:rsidR="00B86523" w:rsidRDefault="00B86523">
            <w:pPr>
              <w:pStyle w:val="p1"/>
              <w:jc w:val="center"/>
              <w:rPr>
                <w:b/>
                <w:bCs/>
              </w:rPr>
            </w:pPr>
            <w:proofErr w:type="spellStart"/>
            <w:r>
              <w:rPr>
                <w:b/>
                <w:bCs/>
              </w:rPr>
              <w:t>Var_DJF</w:t>
            </w:r>
            <w:proofErr w:type="spellEnd"/>
          </w:p>
        </w:tc>
        <w:tc>
          <w:tcPr>
            <w:tcW w:w="0" w:type="auto"/>
            <w:vAlign w:val="center"/>
            <w:hideMark/>
          </w:tcPr>
          <w:p w14:paraId="00C8B5D0" w14:textId="77777777" w:rsidR="00B86523" w:rsidRDefault="00B86523">
            <w:pPr>
              <w:pStyle w:val="p1"/>
              <w:jc w:val="center"/>
              <w:rPr>
                <w:b/>
                <w:bCs/>
              </w:rPr>
            </w:pPr>
            <w:proofErr w:type="spellStart"/>
            <w:r>
              <w:rPr>
                <w:b/>
                <w:bCs/>
              </w:rPr>
              <w:t>Mean_MAM</w:t>
            </w:r>
            <w:proofErr w:type="spellEnd"/>
          </w:p>
        </w:tc>
        <w:tc>
          <w:tcPr>
            <w:tcW w:w="0" w:type="auto"/>
            <w:vAlign w:val="center"/>
            <w:hideMark/>
          </w:tcPr>
          <w:p w14:paraId="2EF3A7AF" w14:textId="77777777" w:rsidR="00B86523" w:rsidRDefault="00B86523">
            <w:pPr>
              <w:pStyle w:val="p1"/>
              <w:jc w:val="center"/>
              <w:rPr>
                <w:b/>
                <w:bCs/>
              </w:rPr>
            </w:pPr>
            <w:proofErr w:type="spellStart"/>
            <w:r>
              <w:rPr>
                <w:b/>
                <w:bCs/>
              </w:rPr>
              <w:t>Var_MAM</w:t>
            </w:r>
            <w:proofErr w:type="spellEnd"/>
          </w:p>
        </w:tc>
        <w:tc>
          <w:tcPr>
            <w:tcW w:w="0" w:type="auto"/>
            <w:vAlign w:val="center"/>
            <w:hideMark/>
          </w:tcPr>
          <w:p w14:paraId="5474A41D" w14:textId="77777777" w:rsidR="00B86523" w:rsidRDefault="00B86523">
            <w:pPr>
              <w:pStyle w:val="p1"/>
              <w:jc w:val="center"/>
              <w:rPr>
                <w:b/>
                <w:bCs/>
              </w:rPr>
            </w:pPr>
            <w:proofErr w:type="spellStart"/>
            <w:r>
              <w:rPr>
                <w:b/>
                <w:bCs/>
              </w:rPr>
              <w:t>Mean_JJA</w:t>
            </w:r>
            <w:proofErr w:type="spellEnd"/>
          </w:p>
        </w:tc>
        <w:tc>
          <w:tcPr>
            <w:tcW w:w="0" w:type="auto"/>
            <w:vAlign w:val="center"/>
            <w:hideMark/>
          </w:tcPr>
          <w:p w14:paraId="19C8D314" w14:textId="77777777" w:rsidR="00B86523" w:rsidRDefault="00B86523">
            <w:pPr>
              <w:pStyle w:val="p1"/>
              <w:jc w:val="center"/>
              <w:rPr>
                <w:b/>
                <w:bCs/>
              </w:rPr>
            </w:pPr>
            <w:proofErr w:type="spellStart"/>
            <w:r>
              <w:rPr>
                <w:b/>
                <w:bCs/>
              </w:rPr>
              <w:t>Var_JJA</w:t>
            </w:r>
            <w:proofErr w:type="spellEnd"/>
          </w:p>
        </w:tc>
        <w:tc>
          <w:tcPr>
            <w:tcW w:w="0" w:type="auto"/>
            <w:vAlign w:val="center"/>
            <w:hideMark/>
          </w:tcPr>
          <w:p w14:paraId="48565CAA" w14:textId="77777777" w:rsidR="00B86523" w:rsidRDefault="00B86523">
            <w:pPr>
              <w:pStyle w:val="p1"/>
              <w:jc w:val="center"/>
              <w:rPr>
                <w:b/>
                <w:bCs/>
              </w:rPr>
            </w:pPr>
            <w:proofErr w:type="spellStart"/>
            <w:r>
              <w:rPr>
                <w:b/>
                <w:bCs/>
              </w:rPr>
              <w:t>Mean_SON</w:t>
            </w:r>
            <w:proofErr w:type="spellEnd"/>
          </w:p>
        </w:tc>
        <w:tc>
          <w:tcPr>
            <w:tcW w:w="0" w:type="auto"/>
            <w:vAlign w:val="center"/>
            <w:hideMark/>
          </w:tcPr>
          <w:p w14:paraId="342DBAA7" w14:textId="77777777" w:rsidR="00B86523" w:rsidRDefault="00B86523">
            <w:pPr>
              <w:pStyle w:val="p1"/>
              <w:jc w:val="center"/>
              <w:rPr>
                <w:b/>
                <w:bCs/>
              </w:rPr>
            </w:pPr>
            <w:proofErr w:type="spellStart"/>
            <w:r>
              <w:rPr>
                <w:b/>
                <w:bCs/>
              </w:rPr>
              <w:t>Var_SON</w:t>
            </w:r>
            <w:proofErr w:type="spellEnd"/>
          </w:p>
        </w:tc>
      </w:tr>
      <w:tr w:rsidR="00B86523" w14:paraId="5098D886" w14:textId="77777777" w:rsidTr="00B86523">
        <w:trPr>
          <w:tblCellSpacing w:w="15" w:type="dxa"/>
        </w:trPr>
        <w:tc>
          <w:tcPr>
            <w:tcW w:w="0" w:type="auto"/>
            <w:vAlign w:val="center"/>
            <w:hideMark/>
          </w:tcPr>
          <w:p w14:paraId="1633A439" w14:textId="77777777" w:rsidR="00B86523" w:rsidRDefault="00B86523">
            <w:pPr>
              <w:pStyle w:val="p1"/>
            </w:pPr>
            <w:r>
              <w:t>1921-1950</w:t>
            </w:r>
          </w:p>
        </w:tc>
        <w:tc>
          <w:tcPr>
            <w:tcW w:w="0" w:type="auto"/>
            <w:vAlign w:val="center"/>
            <w:hideMark/>
          </w:tcPr>
          <w:p w14:paraId="562FD434" w14:textId="77777777" w:rsidR="00B86523" w:rsidRDefault="00B86523">
            <w:pPr>
              <w:pStyle w:val="p1"/>
            </w:pPr>
            <w:r>
              <w:t>-0.04</w:t>
            </w:r>
          </w:p>
        </w:tc>
        <w:tc>
          <w:tcPr>
            <w:tcW w:w="0" w:type="auto"/>
            <w:vAlign w:val="center"/>
            <w:hideMark/>
          </w:tcPr>
          <w:p w14:paraId="03ECC342" w14:textId="77777777" w:rsidR="00B86523" w:rsidRDefault="00B86523">
            <w:pPr>
              <w:pStyle w:val="p1"/>
            </w:pPr>
            <w:r>
              <w:t>0.057</w:t>
            </w:r>
          </w:p>
        </w:tc>
        <w:tc>
          <w:tcPr>
            <w:tcW w:w="0" w:type="auto"/>
            <w:vAlign w:val="center"/>
            <w:hideMark/>
          </w:tcPr>
          <w:p w14:paraId="2D0B71D3" w14:textId="77777777" w:rsidR="00B86523" w:rsidRDefault="00B86523">
            <w:pPr>
              <w:pStyle w:val="p1"/>
            </w:pPr>
            <w:r>
              <w:t>-0.05</w:t>
            </w:r>
          </w:p>
        </w:tc>
        <w:tc>
          <w:tcPr>
            <w:tcW w:w="0" w:type="auto"/>
            <w:vAlign w:val="center"/>
            <w:hideMark/>
          </w:tcPr>
          <w:p w14:paraId="2B1A83FF" w14:textId="77777777" w:rsidR="00B86523" w:rsidRDefault="00B86523">
            <w:pPr>
              <w:pStyle w:val="p1"/>
            </w:pPr>
            <w:r>
              <w:t>0.031</w:t>
            </w:r>
          </w:p>
        </w:tc>
        <w:tc>
          <w:tcPr>
            <w:tcW w:w="0" w:type="auto"/>
            <w:vAlign w:val="center"/>
            <w:hideMark/>
          </w:tcPr>
          <w:p w14:paraId="33468708" w14:textId="77777777" w:rsidR="00B86523" w:rsidRDefault="00B86523">
            <w:pPr>
              <w:pStyle w:val="p1"/>
            </w:pPr>
            <w:r>
              <w:t>-0.06</w:t>
            </w:r>
          </w:p>
        </w:tc>
        <w:tc>
          <w:tcPr>
            <w:tcW w:w="0" w:type="auto"/>
            <w:vAlign w:val="center"/>
            <w:hideMark/>
          </w:tcPr>
          <w:p w14:paraId="33B71CFE" w14:textId="77777777" w:rsidR="00B86523" w:rsidRDefault="00B86523">
            <w:pPr>
              <w:pStyle w:val="p1"/>
            </w:pPr>
            <w:r>
              <w:t>0.021</w:t>
            </w:r>
          </w:p>
        </w:tc>
        <w:tc>
          <w:tcPr>
            <w:tcW w:w="0" w:type="auto"/>
            <w:vAlign w:val="center"/>
            <w:hideMark/>
          </w:tcPr>
          <w:p w14:paraId="12E00302" w14:textId="77777777" w:rsidR="00B86523" w:rsidRDefault="00B86523">
            <w:pPr>
              <w:pStyle w:val="p1"/>
            </w:pPr>
            <w:r>
              <w:t>0.073</w:t>
            </w:r>
          </w:p>
        </w:tc>
        <w:tc>
          <w:tcPr>
            <w:tcW w:w="0" w:type="auto"/>
            <w:vAlign w:val="center"/>
            <w:hideMark/>
          </w:tcPr>
          <w:p w14:paraId="36E02930" w14:textId="77777777" w:rsidR="00B86523" w:rsidRDefault="00B86523">
            <w:pPr>
              <w:pStyle w:val="p1"/>
            </w:pPr>
            <w:r>
              <w:t>0.028</w:t>
            </w:r>
          </w:p>
        </w:tc>
      </w:tr>
      <w:tr w:rsidR="00B86523" w14:paraId="78040602" w14:textId="77777777" w:rsidTr="00B86523">
        <w:trPr>
          <w:tblCellSpacing w:w="15" w:type="dxa"/>
        </w:trPr>
        <w:tc>
          <w:tcPr>
            <w:tcW w:w="0" w:type="auto"/>
            <w:vAlign w:val="center"/>
            <w:hideMark/>
          </w:tcPr>
          <w:p w14:paraId="12B76E77" w14:textId="77777777" w:rsidR="00B86523" w:rsidRDefault="00B86523">
            <w:pPr>
              <w:pStyle w:val="p1"/>
            </w:pPr>
            <w:r>
              <w:t>1951-1980</w:t>
            </w:r>
          </w:p>
        </w:tc>
        <w:tc>
          <w:tcPr>
            <w:tcW w:w="0" w:type="auto"/>
            <w:vAlign w:val="center"/>
            <w:hideMark/>
          </w:tcPr>
          <w:p w14:paraId="22158048" w14:textId="77777777" w:rsidR="00B86523" w:rsidRDefault="00B86523">
            <w:pPr>
              <w:pStyle w:val="p1"/>
            </w:pPr>
            <w:r>
              <w:t>-0.00</w:t>
            </w:r>
          </w:p>
        </w:tc>
        <w:tc>
          <w:tcPr>
            <w:tcW w:w="0" w:type="auto"/>
            <w:vAlign w:val="center"/>
            <w:hideMark/>
          </w:tcPr>
          <w:p w14:paraId="2DE714B6" w14:textId="77777777" w:rsidR="00B86523" w:rsidRDefault="00B86523">
            <w:pPr>
              <w:pStyle w:val="p1"/>
            </w:pPr>
            <w:r>
              <w:t>0.050</w:t>
            </w:r>
          </w:p>
        </w:tc>
        <w:tc>
          <w:tcPr>
            <w:tcW w:w="0" w:type="auto"/>
            <w:vAlign w:val="center"/>
            <w:hideMark/>
          </w:tcPr>
          <w:p w14:paraId="151259B2" w14:textId="77777777" w:rsidR="00B86523" w:rsidRDefault="00B86523">
            <w:pPr>
              <w:pStyle w:val="p1"/>
            </w:pPr>
            <w:r>
              <w:t>~0.00</w:t>
            </w:r>
          </w:p>
        </w:tc>
        <w:tc>
          <w:tcPr>
            <w:tcW w:w="0" w:type="auto"/>
            <w:vAlign w:val="center"/>
            <w:hideMark/>
          </w:tcPr>
          <w:p w14:paraId="7C07B164" w14:textId="77777777" w:rsidR="00B86523" w:rsidRDefault="00B86523">
            <w:pPr>
              <w:pStyle w:val="p1"/>
            </w:pPr>
            <w:r>
              <w:t>0.025</w:t>
            </w:r>
          </w:p>
        </w:tc>
        <w:tc>
          <w:tcPr>
            <w:tcW w:w="0" w:type="auto"/>
            <w:vAlign w:val="center"/>
            <w:hideMark/>
          </w:tcPr>
          <w:p w14:paraId="4E2D3E37" w14:textId="77777777" w:rsidR="00B86523" w:rsidRDefault="00B86523">
            <w:pPr>
              <w:pStyle w:val="p1"/>
            </w:pPr>
            <w:r>
              <w:t>~0.00</w:t>
            </w:r>
          </w:p>
        </w:tc>
        <w:tc>
          <w:tcPr>
            <w:tcW w:w="0" w:type="auto"/>
            <w:vAlign w:val="center"/>
            <w:hideMark/>
          </w:tcPr>
          <w:p w14:paraId="38B8AB9B" w14:textId="77777777" w:rsidR="00B86523" w:rsidRDefault="00B86523">
            <w:pPr>
              <w:pStyle w:val="p1"/>
            </w:pPr>
            <w:r>
              <w:t>0.014</w:t>
            </w:r>
          </w:p>
        </w:tc>
        <w:tc>
          <w:tcPr>
            <w:tcW w:w="0" w:type="auto"/>
            <w:vAlign w:val="center"/>
            <w:hideMark/>
          </w:tcPr>
          <w:p w14:paraId="1F9C3B2B" w14:textId="77777777" w:rsidR="00B86523" w:rsidRDefault="00B86523">
            <w:pPr>
              <w:pStyle w:val="p1"/>
            </w:pPr>
            <w:r>
              <w:t>-0.001</w:t>
            </w:r>
          </w:p>
        </w:tc>
        <w:tc>
          <w:tcPr>
            <w:tcW w:w="0" w:type="auto"/>
            <w:vAlign w:val="center"/>
            <w:hideMark/>
          </w:tcPr>
          <w:p w14:paraId="47969CA3" w14:textId="77777777" w:rsidR="00B86523" w:rsidRDefault="00B86523">
            <w:pPr>
              <w:pStyle w:val="p1"/>
            </w:pPr>
            <w:r>
              <w:t>0.026</w:t>
            </w:r>
          </w:p>
        </w:tc>
      </w:tr>
      <w:tr w:rsidR="00B86523" w14:paraId="71466836" w14:textId="77777777" w:rsidTr="00B86523">
        <w:trPr>
          <w:tblCellSpacing w:w="15" w:type="dxa"/>
        </w:trPr>
        <w:tc>
          <w:tcPr>
            <w:tcW w:w="0" w:type="auto"/>
            <w:vAlign w:val="center"/>
            <w:hideMark/>
          </w:tcPr>
          <w:p w14:paraId="4D67710A" w14:textId="77777777" w:rsidR="00B86523" w:rsidRDefault="00B86523">
            <w:pPr>
              <w:pStyle w:val="p1"/>
            </w:pPr>
            <w:r>
              <w:t>1981-2010</w:t>
            </w:r>
          </w:p>
        </w:tc>
        <w:tc>
          <w:tcPr>
            <w:tcW w:w="0" w:type="auto"/>
            <w:vAlign w:val="center"/>
            <w:hideMark/>
          </w:tcPr>
          <w:p w14:paraId="14685F48" w14:textId="77777777" w:rsidR="00B86523" w:rsidRDefault="00B86523">
            <w:pPr>
              <w:pStyle w:val="p1"/>
            </w:pPr>
            <w:r>
              <w:t>0.52</w:t>
            </w:r>
          </w:p>
        </w:tc>
        <w:tc>
          <w:tcPr>
            <w:tcW w:w="0" w:type="auto"/>
            <w:vAlign w:val="center"/>
            <w:hideMark/>
          </w:tcPr>
          <w:p w14:paraId="031C0E0C" w14:textId="77777777" w:rsidR="00B86523" w:rsidRDefault="00B86523">
            <w:pPr>
              <w:pStyle w:val="p1"/>
            </w:pPr>
            <w:r>
              <w:t>0.080</w:t>
            </w:r>
          </w:p>
        </w:tc>
        <w:tc>
          <w:tcPr>
            <w:tcW w:w="0" w:type="auto"/>
            <w:vAlign w:val="center"/>
            <w:hideMark/>
          </w:tcPr>
          <w:p w14:paraId="6653A15F" w14:textId="77777777" w:rsidR="00B86523" w:rsidRDefault="00B86523">
            <w:pPr>
              <w:pStyle w:val="p1"/>
            </w:pPr>
            <w:r>
              <w:t>0.51</w:t>
            </w:r>
          </w:p>
        </w:tc>
        <w:tc>
          <w:tcPr>
            <w:tcW w:w="0" w:type="auto"/>
            <w:vAlign w:val="center"/>
            <w:hideMark/>
          </w:tcPr>
          <w:p w14:paraId="3162B080" w14:textId="77777777" w:rsidR="00B86523" w:rsidRDefault="00B86523">
            <w:pPr>
              <w:pStyle w:val="p1"/>
            </w:pPr>
            <w:r>
              <w:t>0.076</w:t>
            </w:r>
          </w:p>
        </w:tc>
        <w:tc>
          <w:tcPr>
            <w:tcW w:w="0" w:type="auto"/>
            <w:vAlign w:val="center"/>
            <w:hideMark/>
          </w:tcPr>
          <w:p w14:paraId="3219FA10" w14:textId="77777777" w:rsidR="00B86523" w:rsidRDefault="00B86523">
            <w:pPr>
              <w:pStyle w:val="p1"/>
            </w:pPr>
            <w:r>
              <w:t>0.40</w:t>
            </w:r>
          </w:p>
        </w:tc>
        <w:tc>
          <w:tcPr>
            <w:tcW w:w="0" w:type="auto"/>
            <w:vAlign w:val="center"/>
            <w:hideMark/>
          </w:tcPr>
          <w:p w14:paraId="299B104E" w14:textId="77777777" w:rsidR="00B86523" w:rsidRDefault="00B86523">
            <w:pPr>
              <w:pStyle w:val="p1"/>
            </w:pPr>
            <w:r>
              <w:t>0.068</w:t>
            </w:r>
          </w:p>
        </w:tc>
        <w:tc>
          <w:tcPr>
            <w:tcW w:w="0" w:type="auto"/>
            <w:vAlign w:val="center"/>
            <w:hideMark/>
          </w:tcPr>
          <w:p w14:paraId="3CCD47AB" w14:textId="77777777" w:rsidR="00B86523" w:rsidRDefault="00B86523">
            <w:pPr>
              <w:pStyle w:val="p1"/>
            </w:pPr>
            <w:r>
              <w:t>0.428</w:t>
            </w:r>
          </w:p>
        </w:tc>
        <w:tc>
          <w:tcPr>
            <w:tcW w:w="0" w:type="auto"/>
            <w:vAlign w:val="center"/>
            <w:hideMark/>
          </w:tcPr>
          <w:p w14:paraId="2A4341F7" w14:textId="77777777" w:rsidR="00B86523" w:rsidRDefault="00B86523">
            <w:pPr>
              <w:pStyle w:val="p1"/>
            </w:pPr>
            <w:r>
              <w:t>0.111</w:t>
            </w:r>
          </w:p>
        </w:tc>
      </w:tr>
    </w:tbl>
    <w:p w14:paraId="3518C466" w14:textId="77777777" w:rsidR="00B86523" w:rsidRDefault="00B86523" w:rsidP="00B86523">
      <w:pPr>
        <w:pStyle w:val="p1"/>
      </w:pPr>
      <w:r>
        <w:rPr>
          <w:rStyle w:val="s1"/>
        </w:rPr>
        <w:t>1.</w:t>
      </w:r>
      <w:r>
        <w:rPr>
          <w:rStyle w:val="apple-tab-span"/>
        </w:rPr>
        <w:t xml:space="preserve"> </w:t>
      </w:r>
      <w:r>
        <w:rPr>
          <w:b/>
          <w:bCs/>
        </w:rPr>
        <w:t>Medias</w:t>
      </w:r>
      <w:r>
        <w:rPr>
          <w:rStyle w:val="s1"/>
        </w:rPr>
        <w:t>:</w:t>
      </w:r>
    </w:p>
    <w:p w14:paraId="12333C5F" w14:textId="77777777" w:rsidR="00B86523" w:rsidRPr="00B86523" w:rsidRDefault="00B86523" w:rsidP="00B86523">
      <w:pPr>
        <w:pStyle w:val="p2"/>
        <w:rPr>
          <w:lang w:val="es-ES"/>
        </w:rPr>
      </w:pPr>
      <w:r w:rsidRPr="00B86523">
        <w:rPr>
          <w:lang w:val="es-ES"/>
        </w:rPr>
        <w:t>•</w:t>
      </w:r>
      <w:r w:rsidRPr="00B86523">
        <w:rPr>
          <w:rStyle w:val="apple-tab-span"/>
          <w:lang w:val="es-ES"/>
        </w:rPr>
        <w:t xml:space="preserve"> </w:t>
      </w:r>
      <w:r w:rsidRPr="00B86523">
        <w:rPr>
          <w:lang w:val="es-ES"/>
        </w:rPr>
        <w:t>Se observa un cambio grande en la media de cada estación. Por ejemplo, en DJF pasa de ~ en 1921–1950 a en 1981–2010. Lo mismo en MAM (de -0.05 a 0.51), JJA (de -0.06 a 0.40) y SON (de 0.07 a 0.428).</w:t>
      </w:r>
    </w:p>
    <w:p w14:paraId="529FCEA5" w14:textId="77777777" w:rsidR="00B86523" w:rsidRPr="00B86523" w:rsidRDefault="00B86523" w:rsidP="00B86523">
      <w:pPr>
        <w:pStyle w:val="p2"/>
        <w:rPr>
          <w:lang w:val="es-ES"/>
        </w:rPr>
      </w:pPr>
      <w:r w:rsidRPr="00B86523">
        <w:rPr>
          <w:lang w:val="es-ES"/>
        </w:rPr>
        <w:lastRenderedPageBreak/>
        <w:t>•</w:t>
      </w:r>
      <w:r w:rsidRPr="00B86523">
        <w:rPr>
          <w:rStyle w:val="apple-tab-span"/>
          <w:lang w:val="es-ES"/>
        </w:rPr>
        <w:t xml:space="preserve"> </w:t>
      </w:r>
      <w:r w:rsidRPr="00B86523">
        <w:rPr>
          <w:lang w:val="es-ES"/>
        </w:rPr>
        <w:t xml:space="preserve">Esto indica un </w:t>
      </w:r>
      <w:r w:rsidRPr="00B86523">
        <w:rPr>
          <w:rStyle w:val="s3"/>
          <w:b/>
          <w:bCs/>
          <w:lang w:val="es-ES"/>
        </w:rPr>
        <w:t>desplazamiento</w:t>
      </w:r>
      <w:r w:rsidRPr="00B86523">
        <w:rPr>
          <w:lang w:val="es-ES"/>
        </w:rPr>
        <w:t xml:space="preserve"> hacia valores más altos de la anomalía (clima más cálido en promedio).</w:t>
      </w:r>
    </w:p>
    <w:p w14:paraId="57C76A61" w14:textId="77777777" w:rsidR="00B86523" w:rsidRPr="00B86523" w:rsidRDefault="00B86523" w:rsidP="00B86523">
      <w:pPr>
        <w:pStyle w:val="p1"/>
        <w:rPr>
          <w:lang w:val="es-ES"/>
        </w:rPr>
      </w:pPr>
      <w:r w:rsidRPr="00B86523">
        <w:rPr>
          <w:rStyle w:val="s1"/>
          <w:lang w:val="es-ES"/>
        </w:rPr>
        <w:t>2.</w:t>
      </w:r>
      <w:r w:rsidRPr="00B86523">
        <w:rPr>
          <w:rStyle w:val="apple-tab-span"/>
          <w:lang w:val="es-ES"/>
        </w:rPr>
        <w:t xml:space="preserve"> </w:t>
      </w:r>
      <w:r w:rsidRPr="00B86523">
        <w:rPr>
          <w:b/>
          <w:bCs/>
          <w:lang w:val="es-ES"/>
        </w:rPr>
        <w:t>Varianzas</w:t>
      </w:r>
      <w:r w:rsidRPr="00B86523">
        <w:rPr>
          <w:rStyle w:val="s1"/>
          <w:lang w:val="es-ES"/>
        </w:rPr>
        <w:t>:</w:t>
      </w:r>
    </w:p>
    <w:p w14:paraId="1848EE4C" w14:textId="77777777" w:rsidR="00B86523" w:rsidRPr="00B86523" w:rsidRDefault="00B86523" w:rsidP="00B86523">
      <w:pPr>
        <w:pStyle w:val="p2"/>
        <w:rPr>
          <w:lang w:val="es-ES"/>
        </w:rPr>
      </w:pPr>
      <w:r w:rsidRPr="00B86523">
        <w:rPr>
          <w:lang w:val="es-ES"/>
        </w:rPr>
        <w:t>•</w:t>
      </w:r>
      <w:r w:rsidRPr="00B86523">
        <w:rPr>
          <w:rStyle w:val="apple-tab-span"/>
          <w:lang w:val="es-ES"/>
        </w:rPr>
        <w:t xml:space="preserve"> </w:t>
      </w:r>
      <w:r w:rsidRPr="00B86523">
        <w:rPr>
          <w:lang w:val="es-ES"/>
        </w:rPr>
        <w:t>DJF aumenta de 0.057 (1921–1950) a 0.050 (1951–1980) y luego a 0.080 (1981–2010).</w:t>
      </w:r>
    </w:p>
    <w:p w14:paraId="40EA9208" w14:textId="77777777" w:rsidR="00B86523" w:rsidRPr="00B86523" w:rsidRDefault="00B86523" w:rsidP="00B86523">
      <w:pPr>
        <w:pStyle w:val="p2"/>
        <w:rPr>
          <w:lang w:val="es-ES"/>
        </w:rPr>
      </w:pPr>
      <w:r w:rsidRPr="00B86523">
        <w:rPr>
          <w:lang w:val="es-ES"/>
        </w:rPr>
        <w:t>•</w:t>
      </w:r>
      <w:r w:rsidRPr="00B86523">
        <w:rPr>
          <w:rStyle w:val="apple-tab-span"/>
          <w:lang w:val="es-ES"/>
        </w:rPr>
        <w:t xml:space="preserve"> </w:t>
      </w:r>
      <w:r w:rsidRPr="00B86523">
        <w:rPr>
          <w:lang w:val="es-ES"/>
        </w:rPr>
        <w:t>MAM pasa de 0.031 a 0.025 y luego sube a 0.076.</w:t>
      </w:r>
    </w:p>
    <w:p w14:paraId="01F10E22" w14:textId="77777777" w:rsidR="00B86523" w:rsidRPr="00B86523" w:rsidRDefault="00B86523" w:rsidP="00B86523">
      <w:pPr>
        <w:pStyle w:val="p2"/>
        <w:rPr>
          <w:lang w:val="es-ES"/>
        </w:rPr>
      </w:pPr>
      <w:r w:rsidRPr="00B86523">
        <w:rPr>
          <w:lang w:val="es-ES"/>
        </w:rPr>
        <w:t>•</w:t>
      </w:r>
      <w:r w:rsidRPr="00B86523">
        <w:rPr>
          <w:rStyle w:val="apple-tab-span"/>
          <w:lang w:val="es-ES"/>
        </w:rPr>
        <w:t xml:space="preserve"> </w:t>
      </w:r>
      <w:r w:rsidRPr="00B86523">
        <w:rPr>
          <w:lang w:val="es-ES"/>
        </w:rPr>
        <w:t>JJA de 0.021 a 0.014 y sube a 0.068.</w:t>
      </w:r>
    </w:p>
    <w:p w14:paraId="17B7DDEF" w14:textId="77777777" w:rsidR="00B86523" w:rsidRPr="00B86523" w:rsidRDefault="00B86523" w:rsidP="00B86523">
      <w:pPr>
        <w:pStyle w:val="p2"/>
        <w:rPr>
          <w:lang w:val="es-ES"/>
        </w:rPr>
      </w:pPr>
      <w:r w:rsidRPr="00B86523">
        <w:rPr>
          <w:lang w:val="es-ES"/>
        </w:rPr>
        <w:t>•</w:t>
      </w:r>
      <w:r w:rsidRPr="00B86523">
        <w:rPr>
          <w:rStyle w:val="apple-tab-span"/>
          <w:lang w:val="es-ES"/>
        </w:rPr>
        <w:t xml:space="preserve"> </w:t>
      </w:r>
      <w:r w:rsidRPr="00B86523">
        <w:rPr>
          <w:lang w:val="es-ES"/>
        </w:rPr>
        <w:t>SON aumenta de 0.028 a 0.026 y luego se dispara a 0.111.</w:t>
      </w:r>
    </w:p>
    <w:p w14:paraId="03C9DA6B" w14:textId="77777777" w:rsidR="00B86523" w:rsidRPr="00B86523" w:rsidRDefault="00B86523" w:rsidP="00B86523">
      <w:pPr>
        <w:pStyle w:val="p3"/>
        <w:rPr>
          <w:lang w:val="es-ES"/>
        </w:rPr>
      </w:pPr>
    </w:p>
    <w:p w14:paraId="71CCF503" w14:textId="77777777" w:rsidR="00B86523" w:rsidRPr="00B86523" w:rsidRDefault="00B86523" w:rsidP="00B86523">
      <w:pPr>
        <w:pStyle w:val="p4"/>
        <w:rPr>
          <w:lang w:val="es-ES"/>
        </w:rPr>
      </w:pPr>
      <w:r w:rsidRPr="00B86523">
        <w:rPr>
          <w:b/>
          <w:bCs/>
          <w:lang w:val="es-ES"/>
        </w:rPr>
        <w:t>Conclusión sobre la variabilidad</w:t>
      </w:r>
    </w:p>
    <w:p w14:paraId="5EE0727E" w14:textId="77777777" w:rsidR="00B86523" w:rsidRPr="00B86523" w:rsidRDefault="00B86523" w:rsidP="00B86523">
      <w:pPr>
        <w:pStyle w:val="p5"/>
        <w:rPr>
          <w:lang w:val="es-ES"/>
        </w:rPr>
      </w:pPr>
      <w:r w:rsidRPr="00B86523">
        <w:rPr>
          <w:lang w:val="es-ES"/>
        </w:rPr>
        <w:t xml:space="preserve">En la mayoría de los casos, la varianza en 1981–2010 es </w:t>
      </w:r>
      <w:r w:rsidRPr="00B86523">
        <w:rPr>
          <w:rStyle w:val="s3"/>
          <w:b/>
          <w:bCs/>
          <w:lang w:val="es-ES"/>
        </w:rPr>
        <w:t>notablemente mayor</w:t>
      </w:r>
      <w:r w:rsidRPr="00B86523">
        <w:rPr>
          <w:lang w:val="es-ES"/>
        </w:rPr>
        <w:t xml:space="preserve"> que en los periodos anteriores, lo que implica que las temperaturas se han vuelto no solo más altas, sino también más </w:t>
      </w:r>
      <w:r w:rsidRPr="00B86523">
        <w:rPr>
          <w:rStyle w:val="s3"/>
          <w:b/>
          <w:bCs/>
          <w:lang w:val="es-ES"/>
        </w:rPr>
        <w:t>dispersas</w:t>
      </w:r>
      <w:r w:rsidRPr="00B86523">
        <w:rPr>
          <w:lang w:val="es-ES"/>
        </w:rPr>
        <w:t>. En particular, SON (otoño) muestra un incremento muy grande en la varianza (0.111 vs ~0.026-0.028). Esto respalda la idea de mayor variabilidad en los últimos años.</w:t>
      </w:r>
    </w:p>
    <w:p w14:paraId="63953618" w14:textId="77777777" w:rsidR="00B86523" w:rsidRPr="00B86523" w:rsidRDefault="00B86523" w:rsidP="00B86523">
      <w:pPr>
        <w:pStyle w:val="p1"/>
        <w:rPr>
          <w:lang w:val="es-ES"/>
        </w:rPr>
      </w:pPr>
      <w:r w:rsidRPr="00B86523">
        <w:rPr>
          <w:b/>
          <w:bCs/>
          <w:lang w:val="es-ES"/>
        </w:rPr>
        <w:t>P1.2.6. ¿Aumentó la variabilidad? ¿Aconsejar al gobierno mayor gasto en mitigación?</w:t>
      </w:r>
    </w:p>
    <w:p w14:paraId="6E492D41" w14:textId="77777777" w:rsidR="00B86523" w:rsidRPr="00B86523" w:rsidRDefault="00B86523" w:rsidP="00B86523">
      <w:pPr>
        <w:pStyle w:val="p2"/>
        <w:rPr>
          <w:lang w:val="es-ES"/>
        </w:rPr>
      </w:pPr>
      <w:r w:rsidRPr="00B86523">
        <w:rPr>
          <w:lang w:val="es-ES"/>
        </w:rPr>
        <w:t>1.</w:t>
      </w:r>
      <w:r w:rsidRPr="00B86523">
        <w:rPr>
          <w:rStyle w:val="apple-tab-span"/>
          <w:lang w:val="es-ES"/>
        </w:rPr>
        <w:t xml:space="preserve"> </w:t>
      </w:r>
      <w:r w:rsidRPr="00B86523">
        <w:rPr>
          <w:rStyle w:val="s1"/>
          <w:b/>
          <w:bCs/>
          <w:lang w:val="es-ES"/>
        </w:rPr>
        <w:t>Más frecuencia de “</w:t>
      </w:r>
      <w:proofErr w:type="spellStart"/>
      <w:r w:rsidRPr="00B86523">
        <w:rPr>
          <w:rStyle w:val="s1"/>
          <w:b/>
          <w:bCs/>
          <w:lang w:val="es-ES"/>
        </w:rPr>
        <w:t>hot</w:t>
      </w:r>
      <w:proofErr w:type="spellEnd"/>
      <w:r w:rsidRPr="00B86523">
        <w:rPr>
          <w:rStyle w:val="s1"/>
          <w:b/>
          <w:bCs/>
          <w:lang w:val="es-ES"/>
        </w:rPr>
        <w:t>”</w:t>
      </w:r>
      <w:r w:rsidRPr="00B86523">
        <w:rPr>
          <w:lang w:val="es-ES"/>
        </w:rPr>
        <w:t>: Al ver que el porcentaje de anomalías “</w:t>
      </w:r>
      <w:proofErr w:type="spellStart"/>
      <w:r w:rsidRPr="00B86523">
        <w:rPr>
          <w:lang w:val="es-ES"/>
        </w:rPr>
        <w:t>hot</w:t>
      </w:r>
      <w:proofErr w:type="spellEnd"/>
      <w:r w:rsidRPr="00B86523">
        <w:rPr>
          <w:lang w:val="es-ES"/>
        </w:rPr>
        <w:t>” pasó de 30% a 85% en 1981–2010, se confirma un gran cambio en la distribución de temperaturas hacia valores más altos.</w:t>
      </w:r>
    </w:p>
    <w:p w14:paraId="0859FE18" w14:textId="77777777" w:rsidR="00B86523" w:rsidRPr="00B86523" w:rsidRDefault="00B86523" w:rsidP="00B86523">
      <w:pPr>
        <w:pStyle w:val="p2"/>
        <w:rPr>
          <w:lang w:val="es-ES"/>
        </w:rPr>
      </w:pPr>
      <w:r w:rsidRPr="00B86523">
        <w:rPr>
          <w:lang w:val="es-ES"/>
        </w:rPr>
        <w:t>2.</w:t>
      </w:r>
      <w:r w:rsidRPr="00B86523">
        <w:rPr>
          <w:rStyle w:val="apple-tab-span"/>
          <w:lang w:val="es-ES"/>
        </w:rPr>
        <w:t xml:space="preserve"> </w:t>
      </w:r>
      <w:r w:rsidRPr="00B86523">
        <w:rPr>
          <w:rStyle w:val="s1"/>
          <w:b/>
          <w:bCs/>
          <w:lang w:val="es-ES"/>
        </w:rPr>
        <w:t>Mayor varianza</w:t>
      </w:r>
      <w:r w:rsidRPr="00B86523">
        <w:rPr>
          <w:lang w:val="es-ES"/>
        </w:rPr>
        <w:t xml:space="preserve">: Los datos de varianza por estación muestran incrementos significativos en 1981–2010, lo cual indica más </w:t>
      </w:r>
      <w:r w:rsidRPr="00B86523">
        <w:rPr>
          <w:rStyle w:val="s1"/>
          <w:b/>
          <w:bCs/>
          <w:lang w:val="es-ES"/>
        </w:rPr>
        <w:t>extremos</w:t>
      </w:r>
      <w:r w:rsidRPr="00B86523">
        <w:rPr>
          <w:lang w:val="es-ES"/>
        </w:rPr>
        <w:t xml:space="preserve"> (olas de calor, etc.).</w:t>
      </w:r>
    </w:p>
    <w:p w14:paraId="7F758C59" w14:textId="77777777" w:rsidR="00B86523" w:rsidRDefault="00B86523" w:rsidP="00B86523">
      <w:pPr>
        <w:pStyle w:val="p3"/>
      </w:pPr>
      <w:r>
        <w:rPr>
          <w:rStyle w:val="s2"/>
        </w:rPr>
        <w:t>3.</w:t>
      </w:r>
      <w:r>
        <w:rPr>
          <w:rStyle w:val="apple-tab-span"/>
        </w:rPr>
        <w:t xml:space="preserve"> </w:t>
      </w:r>
      <w:proofErr w:type="spellStart"/>
      <w:r>
        <w:rPr>
          <w:b/>
          <w:bCs/>
        </w:rPr>
        <w:t>Recomendaciones</w:t>
      </w:r>
      <w:proofErr w:type="spellEnd"/>
      <w:r>
        <w:rPr>
          <w:b/>
          <w:bCs/>
        </w:rPr>
        <w:t xml:space="preserve"> de </w:t>
      </w:r>
      <w:proofErr w:type="spellStart"/>
      <w:r>
        <w:rPr>
          <w:b/>
          <w:bCs/>
        </w:rPr>
        <w:t>política</w:t>
      </w:r>
      <w:proofErr w:type="spellEnd"/>
      <w:r>
        <w:rPr>
          <w:rStyle w:val="s2"/>
        </w:rPr>
        <w:t>:</w:t>
      </w:r>
    </w:p>
    <w:p w14:paraId="5B9623EC"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 xml:space="preserve">Con un clima </w:t>
      </w:r>
      <w:proofErr w:type="gramStart"/>
      <w:r w:rsidRPr="00B86523">
        <w:rPr>
          <w:rStyle w:val="s1"/>
          <w:b/>
          <w:bCs/>
          <w:lang w:val="es-ES"/>
        </w:rPr>
        <w:t>más cálido</w:t>
      </w:r>
      <w:r w:rsidRPr="00B86523">
        <w:rPr>
          <w:lang w:val="es-ES"/>
        </w:rPr>
        <w:t xml:space="preserve"> y </w:t>
      </w:r>
      <w:r w:rsidRPr="00B86523">
        <w:rPr>
          <w:rStyle w:val="s1"/>
          <w:b/>
          <w:bCs/>
          <w:lang w:val="es-ES"/>
        </w:rPr>
        <w:t>más variable</w:t>
      </w:r>
      <w:proofErr w:type="gramEnd"/>
      <w:r w:rsidRPr="00B86523">
        <w:rPr>
          <w:lang w:val="es-ES"/>
        </w:rPr>
        <w:t>, es probable que se presenten eventos extremos con mayor frecuencia e intensidad (olas de calor, sequías, tormentas inusuales).</w:t>
      </w:r>
    </w:p>
    <w:p w14:paraId="29ECFCA9" w14:textId="77777777" w:rsidR="00B86523" w:rsidRPr="00B86523" w:rsidRDefault="00B86523" w:rsidP="00B86523">
      <w:pPr>
        <w:pStyle w:val="p4"/>
        <w:rPr>
          <w:lang w:val="es-ES"/>
        </w:rPr>
      </w:pPr>
      <w:r w:rsidRPr="00B86523">
        <w:rPr>
          <w:lang w:val="es-ES"/>
        </w:rPr>
        <w:t>•</w:t>
      </w:r>
      <w:r w:rsidRPr="00B86523">
        <w:rPr>
          <w:rStyle w:val="apple-tab-span"/>
          <w:lang w:val="es-ES"/>
        </w:rPr>
        <w:t xml:space="preserve"> </w:t>
      </w:r>
      <w:r w:rsidRPr="00B86523">
        <w:rPr>
          <w:lang w:val="es-ES"/>
        </w:rPr>
        <w:t xml:space="preserve">Por ello, </w:t>
      </w:r>
      <w:r w:rsidRPr="00B86523">
        <w:rPr>
          <w:rStyle w:val="s1"/>
          <w:b/>
          <w:bCs/>
          <w:lang w:val="es-ES"/>
        </w:rPr>
        <w:t>sí</w:t>
      </w:r>
      <w:r w:rsidRPr="00B86523">
        <w:rPr>
          <w:lang w:val="es-ES"/>
        </w:rPr>
        <w:t xml:space="preserve"> es razonable aconsejar al gobierno que invierta más en planes de mitigación y adaptación: mejor infraestructura, sistemas de alerta temprana, investigación sobre cultivos resistentes a estrés térmico, etc.</w:t>
      </w:r>
    </w:p>
    <w:p w14:paraId="03A5B6C4" w14:textId="77777777" w:rsidR="00B86523" w:rsidRPr="00B86523" w:rsidRDefault="00B86523" w:rsidP="00B86523">
      <w:pPr>
        <w:pStyle w:val="p5"/>
        <w:rPr>
          <w:lang w:val="es-ES"/>
        </w:rPr>
      </w:pPr>
    </w:p>
    <w:p w14:paraId="076128BE" w14:textId="77777777" w:rsidR="00B86523" w:rsidRPr="00B86523" w:rsidRDefault="00B86523" w:rsidP="00B86523">
      <w:pPr>
        <w:pStyle w:val="p6"/>
        <w:rPr>
          <w:lang w:val="es-ES"/>
        </w:rPr>
      </w:pPr>
      <w:r w:rsidRPr="00B86523">
        <w:rPr>
          <w:b/>
          <w:bCs/>
          <w:lang w:val="es-ES"/>
        </w:rPr>
        <w:t>Respuesta corta:</w:t>
      </w:r>
    </w:p>
    <w:p w14:paraId="3564A298" w14:textId="77777777" w:rsidR="00B86523" w:rsidRPr="00B86523" w:rsidRDefault="00B86523" w:rsidP="00B86523">
      <w:pPr>
        <w:pStyle w:val="p7"/>
        <w:rPr>
          <w:lang w:val="es-ES"/>
        </w:rPr>
      </w:pPr>
      <w:r w:rsidRPr="00B86523">
        <w:rPr>
          <w:lang w:val="es-ES"/>
        </w:rPr>
        <w:lastRenderedPageBreak/>
        <w:t xml:space="preserve">Sí, los datos sugieren que el clima se ha vuelto </w:t>
      </w:r>
      <w:proofErr w:type="gramStart"/>
      <w:r w:rsidRPr="00B86523">
        <w:rPr>
          <w:lang w:val="es-ES"/>
        </w:rPr>
        <w:t>más cálido y más variable</w:t>
      </w:r>
      <w:proofErr w:type="gramEnd"/>
      <w:r w:rsidRPr="00B86523">
        <w:rPr>
          <w:lang w:val="es-ES"/>
        </w:rPr>
        <w:t>, por lo que conviene dedicar recursos adicionales para afrontar los efectos de eventos extremos.</w:t>
      </w:r>
    </w:p>
    <w:p w14:paraId="70BE6314" w14:textId="77777777" w:rsidR="00B86523" w:rsidRPr="00B86523" w:rsidRDefault="00B86523" w:rsidP="00B86523">
      <w:pPr>
        <w:pStyle w:val="p1"/>
        <w:rPr>
          <w:lang w:val="es-ES"/>
        </w:rPr>
      </w:pPr>
      <w:r w:rsidRPr="00B86523">
        <w:rPr>
          <w:b/>
          <w:bCs/>
          <w:lang w:val="es-ES"/>
        </w:rPr>
        <w:t>Resumen Final</w:t>
      </w:r>
    </w:p>
    <w:p w14:paraId="52EBE981" w14:textId="77777777" w:rsidR="00B86523" w:rsidRPr="00B86523" w:rsidRDefault="00B86523" w:rsidP="00B86523">
      <w:pPr>
        <w:pStyle w:val="p2"/>
        <w:rPr>
          <w:lang w:val="es-ES"/>
        </w:rPr>
      </w:pPr>
      <w:r w:rsidRPr="00B86523">
        <w:rPr>
          <w:lang w:val="es-ES"/>
        </w:rPr>
        <w:t>1.</w:t>
      </w:r>
      <w:r w:rsidRPr="00B86523">
        <w:rPr>
          <w:rStyle w:val="apple-tab-span"/>
          <w:lang w:val="es-ES"/>
        </w:rPr>
        <w:t xml:space="preserve"> </w:t>
      </w:r>
      <w:r w:rsidRPr="00B86523">
        <w:rPr>
          <w:rStyle w:val="s1"/>
          <w:b/>
          <w:bCs/>
          <w:lang w:val="es-ES"/>
        </w:rPr>
        <w:t>P1.2.3:</w:t>
      </w:r>
      <w:r w:rsidRPr="00B86523">
        <w:rPr>
          <w:lang w:val="es-ES"/>
        </w:rPr>
        <w:t xml:space="preserve"> Los umbrales del 30% y 70% en 1951–1980 son </w:t>
      </w:r>
      <w:proofErr w:type="gramStart"/>
      <w:r w:rsidRPr="00B86523">
        <w:rPr>
          <w:lang w:val="es-ES"/>
        </w:rPr>
        <w:t>y ,</w:t>
      </w:r>
      <w:proofErr w:type="gramEnd"/>
      <w:r w:rsidRPr="00B86523">
        <w:rPr>
          <w:lang w:val="es-ES"/>
        </w:rPr>
        <w:t xml:space="preserve"> respectivamente.</w:t>
      </w:r>
    </w:p>
    <w:p w14:paraId="3F69E1A4" w14:textId="77777777" w:rsidR="00B86523" w:rsidRPr="00B86523" w:rsidRDefault="00B86523" w:rsidP="00B86523">
      <w:pPr>
        <w:pStyle w:val="p2"/>
        <w:rPr>
          <w:lang w:val="es-ES"/>
        </w:rPr>
      </w:pPr>
      <w:r w:rsidRPr="00B86523">
        <w:rPr>
          <w:lang w:val="es-ES"/>
        </w:rPr>
        <w:t>2.</w:t>
      </w:r>
      <w:r w:rsidRPr="00B86523">
        <w:rPr>
          <w:rStyle w:val="apple-tab-span"/>
          <w:lang w:val="es-ES"/>
        </w:rPr>
        <w:t xml:space="preserve"> </w:t>
      </w:r>
      <w:r w:rsidRPr="00B86523">
        <w:rPr>
          <w:rStyle w:val="s1"/>
          <w:b/>
          <w:bCs/>
          <w:lang w:val="es-ES"/>
        </w:rPr>
        <w:t>P1.2.4:</w:t>
      </w:r>
      <w:r w:rsidRPr="00B86523">
        <w:rPr>
          <w:lang w:val="es-ES"/>
        </w:rPr>
        <w:t xml:space="preserve"> En 1981–2010, el </w:t>
      </w:r>
      <w:r w:rsidRPr="00B86523">
        <w:rPr>
          <w:rStyle w:val="s1"/>
          <w:b/>
          <w:bCs/>
          <w:lang w:val="es-ES"/>
        </w:rPr>
        <w:t>85%</w:t>
      </w:r>
      <w:r w:rsidRPr="00B86523">
        <w:rPr>
          <w:lang w:val="es-ES"/>
        </w:rPr>
        <w:t xml:space="preserve"> de las anomalías </w:t>
      </w:r>
      <w:proofErr w:type="gramStart"/>
      <w:r w:rsidRPr="00B86523">
        <w:rPr>
          <w:lang w:val="es-ES"/>
        </w:rPr>
        <w:t>superan ,</w:t>
      </w:r>
      <w:proofErr w:type="gramEnd"/>
      <w:r w:rsidRPr="00B86523">
        <w:rPr>
          <w:lang w:val="es-ES"/>
        </w:rPr>
        <w:t xml:space="preserve"> un incremento notable frente al 30% esperado en 1951–1980.</w:t>
      </w:r>
    </w:p>
    <w:p w14:paraId="5C021A02" w14:textId="77777777" w:rsidR="00B86523" w:rsidRPr="00B86523" w:rsidRDefault="00B86523" w:rsidP="00B86523">
      <w:pPr>
        <w:pStyle w:val="p2"/>
        <w:rPr>
          <w:lang w:val="es-ES"/>
        </w:rPr>
      </w:pPr>
      <w:r w:rsidRPr="00B86523">
        <w:rPr>
          <w:lang w:val="es-ES"/>
        </w:rPr>
        <w:t>3.</w:t>
      </w:r>
      <w:r w:rsidRPr="00B86523">
        <w:rPr>
          <w:rStyle w:val="apple-tab-span"/>
          <w:lang w:val="es-ES"/>
        </w:rPr>
        <w:t xml:space="preserve"> </w:t>
      </w:r>
      <w:r w:rsidRPr="00B86523">
        <w:rPr>
          <w:rStyle w:val="s1"/>
          <w:b/>
          <w:bCs/>
          <w:lang w:val="es-ES"/>
        </w:rPr>
        <w:t>P1.2.5:</w:t>
      </w:r>
      <w:r w:rsidRPr="00B86523">
        <w:rPr>
          <w:lang w:val="es-ES"/>
        </w:rPr>
        <w:t xml:space="preserve"> La varianza de cada estación (DJF, MAM, JJA, SON) se incrementa fuertemente en 1981–2010, lo que indica mayor dispersión y, por ende, mayor variabilidad térmica.</w:t>
      </w:r>
    </w:p>
    <w:p w14:paraId="57AC98DD" w14:textId="77777777" w:rsidR="00B86523" w:rsidRPr="00B86523" w:rsidRDefault="00B86523" w:rsidP="00B86523">
      <w:pPr>
        <w:pStyle w:val="p2"/>
        <w:rPr>
          <w:lang w:val="es-ES"/>
        </w:rPr>
      </w:pPr>
      <w:r w:rsidRPr="00B86523">
        <w:rPr>
          <w:lang w:val="es-ES"/>
        </w:rPr>
        <w:t>4.</w:t>
      </w:r>
      <w:r w:rsidRPr="00B86523">
        <w:rPr>
          <w:rStyle w:val="apple-tab-span"/>
          <w:lang w:val="es-ES"/>
        </w:rPr>
        <w:t xml:space="preserve"> </w:t>
      </w:r>
      <w:r w:rsidRPr="00B86523">
        <w:rPr>
          <w:rStyle w:val="s1"/>
          <w:b/>
          <w:bCs/>
          <w:lang w:val="es-ES"/>
        </w:rPr>
        <w:t>P1.2.6:</w:t>
      </w:r>
      <w:r w:rsidRPr="00B86523">
        <w:rPr>
          <w:lang w:val="es-ES"/>
        </w:rPr>
        <w:t xml:space="preserve"> Con más “</w:t>
      </w:r>
      <w:proofErr w:type="spellStart"/>
      <w:r w:rsidRPr="00B86523">
        <w:rPr>
          <w:lang w:val="es-ES"/>
        </w:rPr>
        <w:t>hot</w:t>
      </w:r>
      <w:proofErr w:type="spellEnd"/>
      <w:r w:rsidRPr="00B86523">
        <w:rPr>
          <w:lang w:val="es-ES"/>
        </w:rPr>
        <w:t>” y mayor varianza, el clima muestra mayor inestabilidad. Es aconsejable que los gobiernos inviertan en medidas de mitigación y adaptación al cambio climático, dada la creciente frecuencia de eventos extremos.</w:t>
      </w:r>
    </w:p>
    <w:p w14:paraId="742662D0" w14:textId="42419C14" w:rsidR="006D3AB2" w:rsidRPr="00B86523" w:rsidRDefault="006D3AB2" w:rsidP="006D3AB2">
      <w:pPr>
        <w:pStyle w:val="ListParagraph"/>
        <w:rPr>
          <w:lang w:val="es-ES"/>
        </w:rPr>
      </w:pPr>
    </w:p>
    <w:sectPr w:rsidR="006D3AB2" w:rsidRPr="00B865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618D0"/>
    <w:multiLevelType w:val="hybridMultilevel"/>
    <w:tmpl w:val="6F34AB6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CDA0761"/>
    <w:multiLevelType w:val="hybridMultilevel"/>
    <w:tmpl w:val="74CADA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8C0858"/>
    <w:multiLevelType w:val="hybridMultilevel"/>
    <w:tmpl w:val="5C9E9FB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8BE1D78"/>
    <w:multiLevelType w:val="hybridMultilevel"/>
    <w:tmpl w:val="D9F07B8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2951D6D"/>
    <w:multiLevelType w:val="hybridMultilevel"/>
    <w:tmpl w:val="1FFA3B24"/>
    <w:lvl w:ilvl="0" w:tplc="B2227072">
      <w:start w:val="1"/>
      <w:numFmt w:val="lowerLetter"/>
      <w:lvlText w:val="%1)"/>
      <w:lvlJc w:val="left"/>
      <w:pPr>
        <w:ind w:left="510" w:hanging="360"/>
      </w:pPr>
      <w:rPr>
        <w:rFonts w:hint="default"/>
      </w:rPr>
    </w:lvl>
    <w:lvl w:ilvl="1" w:tplc="240A0019" w:tentative="1">
      <w:start w:val="1"/>
      <w:numFmt w:val="lowerLetter"/>
      <w:lvlText w:val="%2."/>
      <w:lvlJc w:val="left"/>
      <w:pPr>
        <w:ind w:left="1230" w:hanging="360"/>
      </w:pPr>
    </w:lvl>
    <w:lvl w:ilvl="2" w:tplc="240A001B" w:tentative="1">
      <w:start w:val="1"/>
      <w:numFmt w:val="lowerRoman"/>
      <w:lvlText w:val="%3."/>
      <w:lvlJc w:val="right"/>
      <w:pPr>
        <w:ind w:left="1950" w:hanging="180"/>
      </w:pPr>
    </w:lvl>
    <w:lvl w:ilvl="3" w:tplc="240A000F" w:tentative="1">
      <w:start w:val="1"/>
      <w:numFmt w:val="decimal"/>
      <w:lvlText w:val="%4."/>
      <w:lvlJc w:val="left"/>
      <w:pPr>
        <w:ind w:left="2670" w:hanging="360"/>
      </w:pPr>
    </w:lvl>
    <w:lvl w:ilvl="4" w:tplc="240A0019" w:tentative="1">
      <w:start w:val="1"/>
      <w:numFmt w:val="lowerLetter"/>
      <w:lvlText w:val="%5."/>
      <w:lvlJc w:val="left"/>
      <w:pPr>
        <w:ind w:left="3390" w:hanging="360"/>
      </w:pPr>
    </w:lvl>
    <w:lvl w:ilvl="5" w:tplc="240A001B" w:tentative="1">
      <w:start w:val="1"/>
      <w:numFmt w:val="lowerRoman"/>
      <w:lvlText w:val="%6."/>
      <w:lvlJc w:val="right"/>
      <w:pPr>
        <w:ind w:left="4110" w:hanging="180"/>
      </w:pPr>
    </w:lvl>
    <w:lvl w:ilvl="6" w:tplc="240A000F" w:tentative="1">
      <w:start w:val="1"/>
      <w:numFmt w:val="decimal"/>
      <w:lvlText w:val="%7."/>
      <w:lvlJc w:val="left"/>
      <w:pPr>
        <w:ind w:left="4830" w:hanging="360"/>
      </w:pPr>
    </w:lvl>
    <w:lvl w:ilvl="7" w:tplc="240A0019" w:tentative="1">
      <w:start w:val="1"/>
      <w:numFmt w:val="lowerLetter"/>
      <w:lvlText w:val="%8."/>
      <w:lvlJc w:val="left"/>
      <w:pPr>
        <w:ind w:left="5550" w:hanging="360"/>
      </w:pPr>
    </w:lvl>
    <w:lvl w:ilvl="8" w:tplc="240A001B" w:tentative="1">
      <w:start w:val="1"/>
      <w:numFmt w:val="lowerRoman"/>
      <w:lvlText w:val="%9."/>
      <w:lvlJc w:val="right"/>
      <w:pPr>
        <w:ind w:left="6270" w:hanging="180"/>
      </w:pPr>
    </w:lvl>
  </w:abstractNum>
  <w:num w:numId="1" w16cid:durableId="440952095">
    <w:abstractNumId w:val="4"/>
  </w:num>
  <w:num w:numId="2" w16cid:durableId="1671758987">
    <w:abstractNumId w:val="1"/>
  </w:num>
  <w:num w:numId="3" w16cid:durableId="278268661">
    <w:abstractNumId w:val="3"/>
  </w:num>
  <w:num w:numId="4" w16cid:durableId="1499810747">
    <w:abstractNumId w:val="0"/>
  </w:num>
  <w:num w:numId="5" w16cid:durableId="246117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741"/>
    <w:rsid w:val="00195D41"/>
    <w:rsid w:val="006D3AB2"/>
    <w:rsid w:val="007A440E"/>
    <w:rsid w:val="009B3DF8"/>
    <w:rsid w:val="009B5E95"/>
    <w:rsid w:val="00B86523"/>
    <w:rsid w:val="00D3759E"/>
    <w:rsid w:val="00D82741"/>
    <w:rsid w:val="00E82723"/>
    <w:rsid w:val="00ED4F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59665"/>
  <w15:chartTrackingRefBased/>
  <w15:docId w15:val="{A2902F09-1037-4B84-9424-0BE6ADF38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52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41"/>
    <w:pPr>
      <w:spacing w:after="160" w:line="259" w:lineRule="auto"/>
      <w:ind w:left="720"/>
      <w:contextualSpacing/>
    </w:pPr>
    <w:rPr>
      <w:rFonts w:asciiTheme="minorHAnsi" w:eastAsiaTheme="minorHAnsi" w:hAnsiTheme="minorHAnsi" w:cstheme="minorBidi"/>
      <w:sz w:val="22"/>
      <w:szCs w:val="22"/>
      <w:lang w:val="es-CO"/>
    </w:rPr>
  </w:style>
  <w:style w:type="paragraph" w:customStyle="1" w:styleId="p1">
    <w:name w:val="p1"/>
    <w:basedOn w:val="Normal"/>
    <w:rsid w:val="00B86523"/>
    <w:pPr>
      <w:spacing w:before="100" w:beforeAutospacing="1" w:after="100" w:afterAutospacing="1"/>
    </w:pPr>
  </w:style>
  <w:style w:type="character" w:customStyle="1" w:styleId="s1">
    <w:name w:val="s1"/>
    <w:basedOn w:val="DefaultParagraphFont"/>
    <w:rsid w:val="00B86523"/>
  </w:style>
  <w:style w:type="paragraph" w:customStyle="1" w:styleId="p2">
    <w:name w:val="p2"/>
    <w:basedOn w:val="Normal"/>
    <w:rsid w:val="00B86523"/>
    <w:pPr>
      <w:spacing w:before="100" w:beforeAutospacing="1" w:after="100" w:afterAutospacing="1"/>
    </w:pPr>
  </w:style>
  <w:style w:type="paragraph" w:customStyle="1" w:styleId="p3">
    <w:name w:val="p3"/>
    <w:basedOn w:val="Normal"/>
    <w:rsid w:val="00B86523"/>
    <w:pPr>
      <w:spacing w:before="100" w:beforeAutospacing="1" w:after="100" w:afterAutospacing="1"/>
    </w:pPr>
  </w:style>
  <w:style w:type="paragraph" w:customStyle="1" w:styleId="p4">
    <w:name w:val="p4"/>
    <w:basedOn w:val="Normal"/>
    <w:rsid w:val="00B86523"/>
    <w:pPr>
      <w:spacing w:before="100" w:beforeAutospacing="1" w:after="100" w:afterAutospacing="1"/>
    </w:pPr>
  </w:style>
  <w:style w:type="character" w:customStyle="1" w:styleId="apple-tab-span">
    <w:name w:val="apple-tab-span"/>
    <w:basedOn w:val="DefaultParagraphFont"/>
    <w:rsid w:val="00B86523"/>
  </w:style>
  <w:style w:type="paragraph" w:customStyle="1" w:styleId="p5">
    <w:name w:val="p5"/>
    <w:basedOn w:val="Normal"/>
    <w:rsid w:val="00B86523"/>
    <w:pPr>
      <w:spacing w:before="100" w:beforeAutospacing="1" w:after="100" w:afterAutospacing="1"/>
    </w:pPr>
  </w:style>
  <w:style w:type="character" w:customStyle="1" w:styleId="s2">
    <w:name w:val="s2"/>
    <w:basedOn w:val="DefaultParagraphFont"/>
    <w:rsid w:val="00B86523"/>
  </w:style>
  <w:style w:type="character" w:customStyle="1" w:styleId="s3">
    <w:name w:val="s3"/>
    <w:basedOn w:val="DefaultParagraphFont"/>
    <w:rsid w:val="00B86523"/>
  </w:style>
  <w:style w:type="paragraph" w:customStyle="1" w:styleId="p6">
    <w:name w:val="p6"/>
    <w:basedOn w:val="Normal"/>
    <w:rsid w:val="00B86523"/>
    <w:pPr>
      <w:spacing w:before="100" w:beforeAutospacing="1" w:after="100" w:afterAutospacing="1"/>
    </w:pPr>
  </w:style>
  <w:style w:type="paragraph" w:customStyle="1" w:styleId="p7">
    <w:name w:val="p7"/>
    <w:basedOn w:val="Normal"/>
    <w:rsid w:val="00B865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861</Words>
  <Characters>4914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Andres Rodriguez Lesmes</dc:creator>
  <cp:keywords/>
  <dc:description/>
  <cp:lastModifiedBy>Juan David Diaz Sarmiento</cp:lastModifiedBy>
  <cp:revision>2</cp:revision>
  <dcterms:created xsi:type="dcterms:W3CDTF">2025-03-04T01:21:00Z</dcterms:created>
  <dcterms:modified xsi:type="dcterms:W3CDTF">2025-03-04T01:21:00Z</dcterms:modified>
</cp:coreProperties>
</file>