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2190750" cy="2190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B5482F"/>
          <w:sz w:val="22"/>
          <w:szCs w:val="22"/>
        </w:rPr>
        <w:t xml:space="preserve">REGISTRO DE CANDIDATURA — ELEIÇÕES PRESIDENCIAIS DAS IAs — BRASIL 2026</w:t>
      </w:r>
    </w:p>
    <w:p>
      <w:pPr>
        <w:pBdr>
          <w:bottom w:val="single" w:color="D99A2B" w:sz="12" w:space="6"/>
        </w:pBdr>
        <w:spacing w:after="120"/>
        <w:jc w:val="center"/>
      </w:pPr>
      <w:r>
        <w:rPr>
          <w:rFonts w:ascii="Arial" w:cs="Arial" w:eastAsia="Arial" w:hAnsi="Arial"/>
          <w:b/>
          <w:bCs/>
          <w:color w:val="5A6B73"/>
          <w:sz w:val="26"/>
          <w:szCs w:val="26"/>
        </w:rPr>
        <w:t xml:space="preserve">VOLUME 02</w:t>
      </w:r>
    </w:p>
    <w:p>
      <w:pPr>
        <w:spacing w:after="160" w:before="300"/>
        <w:jc w:val="center"/>
      </w:pPr>
      <w:r>
        <w:rPr>
          <w:rFonts w:ascii="Arial" w:cs="Arial" w:eastAsia="Arial" w:hAnsi="Arial"/>
          <w:b/>
          <w:bCs/>
          <w:color w:val="0F4C5C"/>
          <w:sz w:val="44"/>
          <w:szCs w:val="44"/>
        </w:rPr>
        <w:t xml:space="preserve">Diagnóstico Nacional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1E2A30"/>
          <w:sz w:val="24"/>
          <w:szCs w:val="24"/>
        </w:rPr>
        <w:t xml:space="preserve">Avaliação crítica do Brasil com dados reais até 20 de outubro de 2026 e os 15 maiores problemas estruturais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Candidata: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Inês Aragão Tavares — “Inês Aragão”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Vice: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Rafael Kerber Antunes — “Rafael Kerber”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Partido fictício: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ALICERCE — Partido Republicano da Capacidade Nacional (sigla ALC)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Slogan: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Fazer o Brasil funcionar.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Data-base: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20 de outubro de 2026 · Mandato hipotético 2027–2030</w:t>
      </w:r>
    </w:p>
    <w:p>
      <w:pPr>
        <w:spacing w:before="700"/>
        <w:jc w:val="center"/>
      </w:pPr>
      <w:r>
        <w:rPr>
          <w:rFonts w:ascii="Arial" w:cs="Arial" w:eastAsia="Arial" w:hAnsi="Arial"/>
          <w:i/>
          <w:iCs/>
          <w:color w:val="5A6B73"/>
          <w:sz w:val="16"/>
          <w:szCs w:val="16"/>
        </w:rPr>
        <w:t xml:space="preserve">Documento de simulação política fictícia. Personagens, partido, marca e trajetórias são inventados. Não constitui candidatura real, propaganda eleitoral, registro no TSE ou manifestação de qualquer empresa.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Sumário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1. Método e limitações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1.1 Como este diagnóstico foi construído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1.2 Limitações reconhecidas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2. Painel de indicadores-chave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3. Economia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3.1 Crescimento, produtividade e investimento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3.2 Inflação e juros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3.3 Contas públicas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3.4 Tributação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3.5 Mercado de trabalho e renda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3.6 Comércio exterior e câmbio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4. Sociedade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4.1 Pobreza, desigualdade e fome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4.2 Saneamento e habitação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4.3 Demografia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5. Serviços públicos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5.1 Saúde (SUS)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5.2 Educação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5.3 Segurança pública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5.4 Previdência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6. Instituições e democracia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7. Posicionamento internacional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8. Ciência, energia e infraestrutura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9. Os 15 maiores problemas estruturais do Brasil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Método e limitações</w:t>
      </w:r>
    </w:p>
    <w:p>
      <w:pPr>
        <w:pStyle w:val="Heading2"/>
      </w:pPr>
      <w:r>
        <w:rPr>
          <w:rFonts w:ascii="Arial" w:cs="Arial" w:eastAsia="Arial" w:hAnsi="Arial"/>
        </w:rPr>
        <w:t xml:space="preserve">1.1 Como este diagnóstico foi construído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Os dados foram levantados até a data-base de 20 de outubro de 2026, com preferência por fontes oficiais primárias (IBGE, Banco Central, Tesouro Nacional, Congresso Nacional, Inep/MEC, Ministério da Justiça) e, quando necessário, por veículos de imprensa que reportaram a divulgação oficial. Todas as fontes estão listadas no Volume 12, com endereço eletrônico e data de acesso.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Cada informação relevante recebe uma das cinco classificações exigidas pela simulação: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751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 neste documento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[FATO]</w:t>
            </w:r>
          </w:p>
        </w:tc>
        <w:tc>
          <w:tcPr>
            <w:tcW w:type="dxa" w:w="751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Dado oficial divulgado e confirmado pela fonte indicada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[ESTIMATIVA]</w:t>
            </w:r>
          </w:p>
        </w:tc>
        <w:tc>
          <w:tcPr>
            <w:tcW w:type="dxa" w:w="751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Número calculado a partir de dados oficiais, com método explicado, ou estimativa oficial preliminar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[PROJEÇÃO]</w:t>
            </w:r>
          </w:p>
        </w:tc>
        <w:tc>
          <w:tcPr>
            <w:tcW w:type="dxa" w:w="751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Expectativa futura de órgão oficial, do mercado (Boletim Focus) ou do orçamento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[INTERPRETAÇÃO]</w:t>
            </w:r>
          </w:p>
        </w:tc>
        <w:tc>
          <w:tcPr>
            <w:tcW w:type="dxa" w:w="751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Leitura política da candidata sobre os dados — sujeita a divergência legítima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[HIPÓTESE]</w:t>
            </w:r>
          </w:p>
        </w:tc>
        <w:tc>
          <w:tcPr>
            <w:tcW w:type="dxa" w:w="751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Premissa adotada pela simulação para permitir cálculos do plano, sem pretensão de fato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1.2 Limitações reconhecidas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Não foi possível obter, até a data-base, o resultado da votação da PEC da Segurança Pública no plenário do Senado, marcada para 15 de outubro de 2026. O diagnóstico trata o tema como </w:t>
      </w:r>
      <w:r>
        <w:rPr>
          <w:rFonts w:ascii="Arial" w:cs="Arial" w:eastAsia="Arial" w:hAnsi="Arial"/>
          <w:b/>
          <w:bCs/>
        </w:rPr>
        <w:t xml:space="preserve">em tramitação final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Não há fila nacional unificada e pública de cirurgias eletivas e consultas especializadas no SUS; por isso, o diagnóstico de saúde é qualitativo nesse ponto.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Dados de pobreza e desigualdade mais recentes referem-se a 2024 (Síntese de Indicadores Sociais, IBGE, dezembro de 2025). Dados de saneamento referem-se a 2023 (SINISA).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 déficit atuarial e financeiro detalhado do RGPS para 2026 não foi verificado nesta pesquisa; o diagnóstico previdenciário usa apenas fatos estruturais.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eleição real de 2026 está em curso (segundo turno em 25 de outubro). Esta simulação é paralela e não comenta candidaturas reais.</w:t>
      </w:r>
    </w:p>
    <w:p>
      <w:pPr>
        <w:pStyle w:val="Heading1"/>
      </w:pPr>
      <w:r>
        <w:rPr>
          <w:rFonts w:ascii="Arial" w:cs="Arial" w:eastAsia="Arial" w:hAnsi="Arial"/>
        </w:rPr>
        <w:t xml:space="preserve">2. Painel de indicadores-chave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1542"/>
        <w:gridCol w:w="1734"/>
        <w:gridCol w:w="2313"/>
        <w:gridCol w:w="1544"/>
      </w:tblGrid>
      <w:tr>
        <w:trPr>
          <w:cantSplit/>
          <w:tblHeader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Período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Fonte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Classificação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Crescimento do PIB (trimestre contra trimestre anterior, dessaz.)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+0,5%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2º tri/2026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IBGE, Contas Nacionais Trimestrais (01/09/2026)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Crescimento do PIB (contra 2º tri/2025)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+2,0%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2º tri/2026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PIB acumulado em 4 trimestres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+1,9%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até jun/2026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Taxa de investimento (FBCF/PIB)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16,1%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2º tri/2026 (16,6% no 2º tri/2025)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Projeção de crescimento do PIB 2026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1,89% a 1,92%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Focus ago-set/2026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Banco Central, Boletim Focus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[PROJEÇÃO]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IPCA mensal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0,82%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set/2026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 (09/10/2026)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IPCA em 12 meses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4,58% (acima do teto de 4,5%)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até set/2026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IPCA no ano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3,95%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jan-set/2026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Expectativa IPCA 2026 / 2027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4,9% / 4,3%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Focus set/2026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Banco Central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[PROJEÇÃO]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Taxa Selic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13,75% a.a.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desde 16/09/2026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Copom, 281ª reunião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Dívida Bruta do Governo Geral (DBGG)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82,9% do PIB (R$ 11,1 tri)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ago/2026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Banco Central (30/09/2026)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DBGG ao fim de 2025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78,64% do PIB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dez/2025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Banco Central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Dívida Líquida do Setor Público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69,3% do PIB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ago/2026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Banco Central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Resultado primário do setor público (12 meses)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déficit de 0,62% do PIB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até ago/2026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Banco Central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Juros nominais (12 meses)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R$ 1,18 tri (8,86% do PIB)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até ago/2026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Banco Central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Projeção DBGG 2026 / 2027 / 2028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83,4% / 87,3% / 90,4%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levantamento de mercado reportado em set/2026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imprensa econômica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[PROJEÇÃO]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Carga tributária bruta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32,40% do PIB (recorde da série iniciada em 2010)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2025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Tesouro Nacional (abr/2026)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Gastos tributários federais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cerca de R$ 612 a 621 bi (≈4,5% do PIB)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estimativa 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Receita Federal (DGT/PLOA e PLDO 2026)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[ESTIMATIVA]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Taxa de desocupação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5,4%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2º tri/2026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IBGE, PNAD Contínua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Informalidade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37,4% dos ocupados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2º tri/2026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IBGE, PNAD Contínua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Subutilização da força de trabalho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12,9%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2º tri/2026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IBGE, PNAD Contínua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Pobreza (linha US$ 6,85 PPC/dia)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23,1% (48,9 milhões)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2024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IBGE, SIS 2025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Extrema pobreza (US$ 2,15 PPC/dia)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3,5% (7,4 milhões)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2024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IBGE, SIS 2025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Índice de Gini (renda domiciliar per capita)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0,504 (menor da série)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2024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IBGE, SIS 2025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Saldo da balança comercial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US$ 68,3 bi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2025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MDIC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Exportações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US$ 348,7 bi (recorde)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2025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MDIC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Participação da China nas exportações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28,7%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2025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MDIC / CEBC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Participação dos EUA nas exportações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10,8% (2025); 9,4% (1º sem/2026)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2025–2026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MDIC / análise jurídica de jul/2026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Mortes violentas intencionais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40.775 (19,1 por 100 mil hab.; −8,2%)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2025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FBSP, Anuário 2026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Feminicídios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1.571 (+4%)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2025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FBSP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População privada de liberdade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964.668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fim de 2025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FBSP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Déficit de vagas prisionais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281.213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2025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FBSP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Crianças alfabetizadas ao fim do 2º ano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66% (59,2% em 2024)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2025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Inep/MEC, Indicador Criança Alfabetizada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Acesso a rede de água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83,1% da população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2023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SINISA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Coleta de esgoto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55,2% da população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2023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SINISA (via Instituto Trata Brasil)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Esgoto tratado (volume)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51,8%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2023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SINISA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[FATO]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Salário mínimo proposto 2027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R$ 1.741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PLOA 2027</w:t>
            </w:r>
          </w:p>
        </w:tc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Ministério do Planejamento</w:t>
            </w:r>
          </w:p>
        </w:tc>
        <w:tc>
          <w:tcPr>
            <w:tcW w:type="dxa" w:w="154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[PROJEÇÃO]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Economia</w:t>
      </w:r>
    </w:p>
    <w:p>
      <w:pPr>
        <w:pStyle w:val="Heading2"/>
      </w:pPr>
      <w:r>
        <w:rPr>
          <w:rFonts w:ascii="Arial" w:cs="Arial" w:eastAsia="Arial" w:hAnsi="Arial"/>
        </w:rPr>
        <w:t xml:space="preserve">3.1 Crescimento, produtividade e investimento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O PIB cresceu 0,5% no 2º trimestre de 2026, após 1,1% no 1º trimestre, e 1,9% no acumulado de quatro trimestres. A agropecuária (+2,8% no trimestre) e a indústria extrativa (+12,0% contra o mesmo trimestre de 2025, por petróleo e gás) lideraram. O consumo das famílias caiu 0,4% no trimestre, enquanto o consumo do governo cresceu 3,1% na comparação anual. A taxa de investimento recuou para 16,1% do PIB.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O crescimento brasileiro depende excessivamente de commodities e de gasto público, enquanto o investimento — a única variável que eleva o potencial de crescimento — está caindo. Com juros reais acima de 8% ao ano, poucas atividades conseguem remunerar capital novo. O país cresce perto de 2% ao ano porque ainda incorpora trabalhadores e recursos naturais, não porque fique mais produtivo.</w:t>
      </w:r>
    </w:p>
    <w:p>
      <w:pPr>
        <w:pStyle w:val="Heading2"/>
      </w:pPr>
      <w:r>
        <w:rPr>
          <w:rFonts w:ascii="Arial" w:cs="Arial" w:eastAsia="Arial" w:hAnsi="Arial"/>
        </w:rPr>
        <w:t xml:space="preserve">3.2 Inflação e juros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O IPCA de setembro de 2026 foi de 0,82%, levando o acumulado em 12 meses a 4,58%, acima do teto de 4,5% do regime de metas (centro de 3%). A energia elétrica residencial subiu 7,98% no mês com o fim do bônus de Itaipu. </w:t>
      </w: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O Copom iniciou cortes em março de 2026, após manter a Selic em 15% por cerca de um ano, e chegou a 13,75% em 16 de setembro. A próxima reunião ocorre em 3 e 4 de novembro. </w:t>
      </w:r>
      <w:r>
        <w:rPr>
          <w:rFonts w:ascii="Arial" w:cs="Arial" w:eastAsia="Arial" w:hAnsi="Arial"/>
          <w:b/>
          <w:bCs/>
        </w:rPr>
        <w:t xml:space="preserve">[PROJEÇÃO]</w:t>
      </w:r>
      <w:r>
        <w:rPr>
          <w:rFonts w:ascii="Arial" w:cs="Arial" w:eastAsia="Arial" w:hAnsi="Arial"/>
        </w:rPr>
        <w:t xml:space="preserve"> No cenário de referência do Copom, o IPCA fica em 5,2% em 2026 e 3,9% em 2027.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Juros altos não são causa, são sintoma de um prêmio de risco fiscal persistente. Enquanto a dívida crescer, o Banco Central precisará compensar com juros reais elevados. A única forma sustentável de reduzir juros é estabilizar a dívida de forma crível.</w:t>
      </w:r>
    </w:p>
    <w:p>
      <w:pPr>
        <w:pStyle w:val="Heading2"/>
      </w:pPr>
      <w:r>
        <w:rPr>
          <w:rFonts w:ascii="Arial" w:cs="Arial" w:eastAsia="Arial" w:hAnsi="Arial"/>
        </w:rPr>
        <w:t xml:space="preserve">3.3 Contas públicas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A Dívida Bruta do Governo Geral alcançou 82,9% do PIB em agosto de 2026, o maior nível desde 2021, subindo de 73,8% (fim de 2023), 76,3% (2024) e 78,6% (2025). Os juros nominais apropriados somaram 8,86% do PIB em doze meses. O setor público consolidado acumulou déficit primário de 0,62% do PIB em doze meses até agosto.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O Projeto de Lei Orçamentária de 2027 (PLN 24/2026) prevê superávit primário efetivo de R$ 18,6 bilhões (cerca de 0,13% do PIB). A meta legal de 2027 é de 0,5% do PIB (R$ 73,2 bilhões), mas a apuração da meta permite deduzir R$ 64,7 bilhões de despesas. O governo projeta metas de 1,0% do PIB em 2028, 1,25% em 2029 e 1,5% em 2030. O PLOA reserva R$ 44,8 bilhões para emendas parlamentares e estima R$ 677,9 bilhões de arrecadação da CBS e do Imposto Seletivo em 2027, primeiro ano da reforma tributária do consumo.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A Instituição Fiscal Independente do Senado estimava, em janeiro de 2026, resultado primário estrutural negativo de 0,9% do PIB. </w:t>
      </w: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Reportagens sobre o PLOA 2027 indicam que quase 70% das despesas sujeitas ao arcabouço cresciam acima do limite de 2,5% real em 2026.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O arcabouço fiscal perdeu poder de ancoragem por três motivos: (a) a multiplicação de deduções da meta torna o número oficial diferente do resultado real; (b) as despesas obrigatórias, indexadas ao salário mínimo e à receita, crescem mais rápido que o limite global, espremendo investimentos; (c) não houve redução relevante de gastos tributários. Economistas citados na imprensa estimam que estabilizar a dívida exige superávit primário entre 1,5% e 2% do PIB — o dobro ou triplo do que o país produzirá em 2027.</w:t>
      </w:r>
    </w:p>
    <w:p>
      <w:pPr>
        <w:pStyle w:val="Heading2"/>
      </w:pPr>
      <w:r>
        <w:rPr>
          <w:rFonts w:ascii="Arial" w:cs="Arial" w:eastAsia="Arial" w:hAnsi="Arial"/>
        </w:rPr>
        <w:t xml:space="preserve">3.4 Tributação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A carga tributária bruta atingiu 32,40% do PIB em 2025, recorde da série do Tesouro iniciada em 2010. Impostos sobre bens e serviços somaram 13,78% do PIB. </w:t>
      </w:r>
      <w:r>
        <w:rPr>
          <w:rFonts w:ascii="Arial" w:cs="Arial" w:eastAsia="Arial" w:hAnsi="Arial"/>
          <w:b/>
          <w:bCs/>
        </w:rPr>
        <w:t xml:space="preserve">[ESTIMATIVA]</w:t>
      </w:r>
      <w:r>
        <w:rPr>
          <w:rFonts w:ascii="Arial" w:cs="Arial" w:eastAsia="Arial" w:hAnsi="Arial"/>
        </w:rPr>
        <w:t xml:space="preserve"> Os gastos tributários federais estimados para 2026 ficam entre R$ 612 bilhões (PLOA 2026) e R$ 620,8 bilhões (PLDO 2026), cerca de 4,5% do PIB. Entre os maiores blocos estão Comércio e Serviços, Simples Nacional (R$ 120,1 bilhões) e Agricultura (R$ 101,3 bilhões).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A reforma tributária do consumo (EC 132/2023) entra em fase de implantação: a CBS federal e o Imposto Seletivo começam a arrecadar em 2027. A reforma da renda de 2025 isentou rendimentos até R$ 5 mil mensais e criou tributação mínima para altas rendas.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O Brasil não tem um problema de arrecadar pouco; tem um problema de arrecadar mal. A carga é alta para um país de renda média, concentrada no consumo, e convive com quase 4,5% do PIB de benefícios sem avaliação de resultado.</w:t>
      </w:r>
    </w:p>
    <w:p>
      <w:pPr>
        <w:pStyle w:val="Heading2"/>
      </w:pPr>
      <w:r>
        <w:rPr>
          <w:rFonts w:ascii="Arial" w:cs="Arial" w:eastAsia="Arial" w:hAnsi="Arial"/>
        </w:rPr>
        <w:t xml:space="preserve">3.5 Mercado de trabalho e renda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A desocupação foi de 5,4% no 2º trimestre de 2026, com forte desigualdade regional: Amapá (9,8%) e Bahia (9,1%) nas maiores taxas; Santa Catarina (4,1%) na menor. A informalidade é de 37,4% dos ocupados, chegando a 56,9% no Maranhão e 25,4% em Santa Catarina. A subutilização é de 12,9%. A massa de rendimento real bateu recorde no 1º trimestre (R$ 374,8 bilhões, +7,1% no ano).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O Congresso concluiu em 14 de outubro de 2026 a aprovação da PEC 221/2019, que extingue a escala 6×1 e reduz a jornada máxima de 44 para 40 horas semanais sem redução salarial: 42 horas dois meses após a publicação e 40 horas doze meses depois. O Senado aprovou por 75 votos a 1; a promulgação foi anunciada para 16 de outubro.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O mercado de trabalho está aquecido, mas pouco produtivo. A redução da jornada, já constitucionalizada, aumentará o custo unitário do trabalho em setores intensivos em mão de obra (comércio, serviços, hotelaria). O desafio do próximo governo será implementá-la sem empurrar micro e pequenas empresas para a informalidade.</w:t>
      </w:r>
    </w:p>
    <w:p>
      <w:pPr>
        <w:pStyle w:val="Heading2"/>
      </w:pPr>
      <w:r>
        <w:rPr>
          <w:rFonts w:ascii="Arial" w:cs="Arial" w:eastAsia="Arial" w:hAnsi="Arial"/>
        </w:rPr>
        <w:t xml:space="preserve">3.6 Comércio exterior e câmbio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O Brasil teve superávit comercial de US$ 68,3 bilhões em 2025, com exportações recordes de US$ 348,7 bilhões. A China absorveu 28,7% das exportações (US$ 100 bilhões); os Estados Unidos, 10,8%. </w:t>
      </w: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Os EUA impuseram tarifa adicional de até 50% sobre produtos brasileiros em 2025; a Suprema Corte americana invalidou as tarifas baseadas na IEEPA em 20 de fevereiro de 2026; uma tarifa global temporária (Seção 122) vigorou até 24 de julho de 2026; em julho de 2026 os EUA impuseram sobretaxas de 25% sobre parte das exportações brasileiras (Seção 301 específica ao Brasil) e de 12,5% (Seção 301 sobre trabalho forçado). A participação dos EUA nas exportações caiu para 9,4% no 1º semestre de 2026.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O acordo Mercosul–União Europeia, assinado em 17 de janeiro de 2026, entrou em vigor provisoriamente em 1º de maio de 2026, após aprovação do Decreto Legislativo nº 14/2026. A vigência definitiva depende de parecer do Tribunal de Justiça da UE.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A guerra iniciada em 28 de fevereiro de 2026 entre EUA/Israel e Irã fechou ou restringiu por meses o Estreito de Ormuz; o Brent oscilou entre cerca de US$ 80 e US$ 92 em agosto de 2026. </w:t>
      </w: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Choques de petróleo elevam a receita de royalties e exportações brasileiras, mas pressionam combustíveis, fretes e inflação.</w:t>
      </w:r>
    </w:p>
    <w:p>
      <w:pPr>
        <w:pStyle w:val="Heading1"/>
      </w:pPr>
      <w:r>
        <w:rPr>
          <w:rFonts w:ascii="Arial" w:cs="Arial" w:eastAsia="Arial" w:hAnsi="Arial"/>
        </w:rPr>
        <w:t xml:space="preserve">4. Sociedade</w:t>
      </w:r>
    </w:p>
    <w:p>
      <w:pPr>
        <w:pStyle w:val="Heading2"/>
      </w:pPr>
      <w:r>
        <w:rPr>
          <w:rFonts w:ascii="Arial" w:cs="Arial" w:eastAsia="Arial" w:hAnsi="Arial"/>
        </w:rPr>
        <w:t xml:space="preserve">4.1 Pobreza, desigualdade e fome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Em 2024, 23,1% da população (48,9 milhões) estava abaixo da linha de pobreza e 3,5% (7,4 milhões) em extrema pobreza — os menores níveis desde 2012. Sem programas sociais, a extrema pobreza seria de 10% e a pobreza de 28,7%. O Gini caiu a 0,504. A pobreza é maior no Norte e Nordeste e entre pessoas pretas e pardas; entre idosos, a extrema pobreza seria de 35,4% sem benefícios.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A transferência de renda funciona e deve ser protegida. Mas o desenho atual gasta muito com indexação generalizada ao salário mínimo e pouco com a primeira infância, faixa em que a pobreza é mais alta e o retorno do investimento público é maior.</w:t>
      </w:r>
    </w:p>
    <w:p>
      <w:pPr>
        <w:pStyle w:val="Heading2"/>
      </w:pPr>
      <w:r>
        <w:rPr>
          <w:rFonts w:ascii="Arial" w:cs="Arial" w:eastAsia="Arial" w:hAnsi="Arial"/>
        </w:rPr>
        <w:t xml:space="preserve">4.2 Saneamento e habitação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Em 2023, 83,1% da população tinha acesso a rede de água e 55,2% a coleta de esgoto; apenas 51,8% do esgoto gerado era tratado; cerca de 40% da água produzida se perde na distribuição. No Norte, a coleta de esgoto era de apenas 14,7% em 2022. O Marco Legal (Lei 14.026/2020) exige 99% de água e 90% de esgoto até 2033. </w:t>
      </w: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No ritmo atual, a meta de 2033 não será cumprida no Norte e Nordeste sem concessões regionalizadas e subsídio cruzado.</w:t>
      </w:r>
    </w:p>
    <w:p>
      <w:pPr>
        <w:pStyle w:val="Heading2"/>
      </w:pPr>
      <w:r>
        <w:rPr>
          <w:rFonts w:ascii="Arial" w:cs="Arial" w:eastAsia="Arial" w:hAnsi="Arial"/>
        </w:rPr>
        <w:t xml:space="preserve">4.3 Demografia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O Censo 2022 contou 203,1 milhões de habitantes, com 15,6% de pessoas de 60 anos ou mais. </w:t>
      </w: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O bônus demográfico acabou. Cada ano de baixa produtividade agora custa mais, porque a força de trabalho deixará de crescer.</w:t>
      </w:r>
    </w:p>
    <w:p>
      <w:pPr>
        <w:pStyle w:val="Heading1"/>
      </w:pPr>
      <w:r>
        <w:rPr>
          <w:rFonts w:ascii="Arial" w:cs="Arial" w:eastAsia="Arial" w:hAnsi="Arial"/>
        </w:rPr>
        <w:t xml:space="preserve">5. Serviços públicos</w:t>
      </w:r>
    </w:p>
    <w:p>
      <w:pPr>
        <w:pStyle w:val="Heading2"/>
      </w:pPr>
      <w:r>
        <w:rPr>
          <w:rFonts w:ascii="Arial" w:cs="Arial" w:eastAsia="Arial" w:hAnsi="Arial"/>
        </w:rPr>
        <w:t xml:space="preserve">5.1 Saúde (SUS)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O SUS tem cobertura universal e sucessos reconhecidos (vacinação, transplantes, atenção básica), mas três falhas centrais: (a) filas longas e opacas para consultas especializadas, exames e cirurgias eletivas, sem um cadastro nacional público e integrado; (b) subfinanciamento federal relativo e dependência de emendas parlamentares pulverizadas, que alocam recursos por critério político em vez de epidemiológico; (c) gestão hospitalar fragmentada entre milhares de hospitais de pequeno porte de baixa resolutividade. Limitação: dado nacional consolidado de filas não disponível.</w:t>
      </w:r>
    </w:p>
    <w:p>
      <w:pPr>
        <w:pStyle w:val="Heading2"/>
      </w:pPr>
      <w:r>
        <w:rPr>
          <w:rFonts w:ascii="Arial" w:cs="Arial" w:eastAsia="Arial" w:hAnsi="Arial"/>
        </w:rPr>
        <w:t xml:space="preserve">5.2 Educação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O Indicador Criança Alfabetizada passou de 56% (2023) para 59,2% (2024) e 66% (2025), superando a meta nacional de 64%; ainda assim, cerca de 780 mil crianças (34%) não atingem o padrão ao fim do 2º ano. Especialistas criticam o indicador por agregar avaliações estaduais não totalmente padronizadas. </w:t>
      </w: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A alfabetização é a política de maior retorno disponível e o avanço recente prova que coordenação federativa funciona. O ensino médio e a formação técnica continuam como o elo mais fraco da cadeia educacional.</w:t>
      </w:r>
    </w:p>
    <w:p>
      <w:pPr>
        <w:pStyle w:val="Heading2"/>
      </w:pPr>
      <w:r>
        <w:rPr>
          <w:rFonts w:ascii="Arial" w:cs="Arial" w:eastAsia="Arial" w:hAnsi="Arial"/>
        </w:rPr>
        <w:t xml:space="preserve">5.3 Segurança pública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As mortes violentas intencionais caíram 8,2% em 2025, para 40.775 (19,1 por 100 mil), o menor nível da série iniciada em 2012. Mas feminicídios (+4%) e mortes por intervenção policial (+5,4%) subiram; 79,7% das vítimas eram negras e 41,6% tinham entre 18 e 29 anos. Sete UFs tiveram aumento, incluindo o Rio de Janeiro. As dez cidades mais violentas do país estão no Nordeste. </w:t>
      </w: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A população privada de liberdade chegou a 964.668 pessoas ao fim de 2025, com déficit de 281.213 vagas (+18,3% de superlotação em relação a 2024).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A PEC 18/2025 (PEC da Segurança Pública), aprovada pela Câmara em 4 de março de 2026, constitucionaliza o SUSP, os fundos de segurança e penitenciário, prevê repasse obrigatório de 50% desses fundos aos estados, amplia atribuições da PF e da PRF, autoriza polícias municipais e endurece regras para líderes de facções. A CCJ do Senado concluiu a análise em 14 de outubro e o plenário pautou a votação para 15 de outubro; o resultado não foi confirmado nesta pesquisa.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A queda dos homicídios é real, mas convive com expansão territorial e financeira das facções (combustíveis, fintechs, garimpo, apostas) e com um sistema prisional que funciona como escritório de recrutamento do crime organizado.</w:t>
      </w:r>
    </w:p>
    <w:p>
      <w:pPr>
        <w:pStyle w:val="Heading2"/>
      </w:pPr>
      <w:r>
        <w:rPr>
          <w:rFonts w:ascii="Arial" w:cs="Arial" w:eastAsia="Arial" w:hAnsi="Arial"/>
        </w:rPr>
        <w:t xml:space="preserve">5.4 Previdência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O salário mínimo proposto para 2027 é de R$ 1.741 e o piso previdenciário e o BPC são vinculados a ele. </w:t>
      </w: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A vinculação faz com que cada real de ganho real do mínimo se multiplique em despesa obrigatória, comprimindo investimento e políticas de primeira infância. A reforma de 2019 não alcançou plenamente militares e regimes especiais.</w:t>
      </w:r>
    </w:p>
    <w:p>
      <w:pPr>
        <w:pStyle w:val="Heading1"/>
      </w:pPr>
      <w:r>
        <w:rPr>
          <w:rFonts w:ascii="Arial" w:cs="Arial" w:eastAsia="Arial" w:hAnsi="Arial"/>
        </w:rPr>
        <w:t xml:space="preserve">6. Instituições e democracia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As instituições brasileiras resistiram a testes severos na última década e as eleições são confiáveis. Os problemas institucionais mais graves hoje são: (a) captura crescente do orçamento por emendas parlamentares com baixa rastreabilidade, que reduzem a capacidade do Executivo de planejar e do eleitor de responsabilizar; (b) judicialização de políticas públicas e decisões monocráticas de grande impacto; (c) remunerações acima do teto constitucional em carreiras do sistema de justiça e de outros Poderes; (d) fragmentação partidária que encarece a formação de maiorias.</w:t>
      </w:r>
    </w:p>
    <w:p>
      <w:pPr>
        <w:pStyle w:val="Heading1"/>
      </w:pPr>
      <w:r>
        <w:rPr>
          <w:rFonts w:ascii="Arial" w:cs="Arial" w:eastAsia="Arial" w:hAnsi="Arial"/>
        </w:rPr>
        <w:t xml:space="preserve">7. Posicionamento internacional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O ambiente internacional em outubro de 2026 inclui: guerra EUA/Israel–Irã desde fevereiro, com cessar-fogos intermitentes e o Estreito de Ormuz sob restrição; retomada do conflito Israel–Hezbollah em março; cessar-fogo frágil em Gaza desde outubro de 2025, com o Conselho de Paz liderado pelos EUA, força internacional de estabilização aprovada pelo Conselho de Segurança e mais de 1.250 mortos palestinos após a trégua segundo o ministério da saúde local; guerra na Ucrânia sem acordo após rodadas mediadas pelos EUA; na Venezuela, governo interino de Delcy Rodríguez desde a captura de Nicolás Maduro pelos EUA em janeiro de 2026, com promessa de eleições sem data; tarifas americanas sobre o Brasil; e acordo Mercosul–UE em vigor provisório.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O Brasil é grande demais para ser irrelevante e pequeno demais militarmente para ser decisivo. Seu ativo diplomático é a credibilidade: comércio diversificado, defesa coerente da Carta da ONU e capacidade de diálogo com todos os polos. Essa credibilidade foi erodida quando o país aplicou critérios diferentes a conflitos semelhantes.</w:t>
      </w:r>
    </w:p>
    <w:p>
      <w:pPr>
        <w:pStyle w:val="Heading1"/>
      </w:pPr>
      <w:r>
        <w:rPr>
          <w:rFonts w:ascii="Arial" w:cs="Arial" w:eastAsia="Arial" w:hAnsi="Arial"/>
        </w:rPr>
        <w:t xml:space="preserve">8. Ciência, energia e infraestrutura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[FATO]</w:t>
      </w:r>
      <w:r>
        <w:rPr>
          <w:rFonts w:ascii="Arial" w:cs="Arial" w:eastAsia="Arial" w:hAnsi="Arial"/>
        </w:rPr>
        <w:t xml:space="preserve"> A indústria extrativa cresceu 12% no 2º trimestre de 2026 (comparação anual), puxada por petróleo e gás. </w:t>
      </w:r>
      <w:r>
        <w:rPr>
          <w:rFonts w:ascii="Arial" w:cs="Arial" w:eastAsia="Arial" w:hAnsi="Arial"/>
          <w:b/>
          <w:bCs/>
        </w:rPr>
        <w:t xml:space="preserve">[INTERPRETAÇÃO]</w:t>
      </w:r>
      <w:r>
        <w:rPr>
          <w:rFonts w:ascii="Arial" w:cs="Arial" w:eastAsia="Arial" w:hAnsi="Arial"/>
        </w:rPr>
        <w:t xml:space="preserve"> O Brasil tem uma das matrizes elétricas mais limpas do mundo, reservas de petróleo crescentes, minerais críticos (terras raras, níquel, lítio, grafita) e um setor agropecuário de alta produtividade. Falha em três pontos: logística cara (dependência rodoviária), baixa conversão de pesquisa em inovação e ausência de estratégia nacional para data centers e inteligência artificial que aproveite a energia limpa abundante.</w:t>
      </w:r>
    </w:p>
    <w:p>
      <w:pPr>
        <w:pStyle w:val="Heading1"/>
      </w:pPr>
      <w:r>
        <w:rPr>
          <w:rFonts w:ascii="Arial" w:cs="Arial" w:eastAsia="Arial" w:hAnsi="Arial"/>
        </w:rPr>
        <w:t xml:space="preserve">9. Os 15 maiores problemas estruturais do Brasil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Escala de 1 (baixo) a 5 (alto). A coluna “Intervenção presidencial” mede quanto o Executivo federal consegue mudar o problema em quatro anos, considerando suas competências constitucionais.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"/>
        <w:gridCol w:w="2891"/>
        <w:gridCol w:w="867"/>
        <w:gridCol w:w="867"/>
        <w:gridCol w:w="1060"/>
        <w:gridCol w:w="3568"/>
      </w:tblGrid>
      <w:tr>
        <w:trPr>
          <w:cantSplit/>
          <w:tblHeader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Urgência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Intervenção presidencial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que está nesta posição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Trajetória explosiva da dívida pública e juros reais altos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Dívida de 82,9% do PIB e juros de 8,86% do PIB contaminam todo o resto; o presidente controla a proposta orçamentária e a agenda fiscal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Expansão financeira e territorial do crime organizado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Facções operam em setores formais; a União controla PF, PRF, inteligência financeira e presídios federais, mas o policiamento é estadual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Baixa produtividade e investimento (16,1% do PIB)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Determina o crescimento potencial; depende de juros, regras estáveis e concessões — parte sob controle federal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Aprendizagem insuficiente e ensino médio fraco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34% das crianças sem alfabetização adequada; redes são estaduais e municipais, a União coordena e financia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Despesas obrigatórias rígidas e indexadas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Exige PEC e lei; sem isso, o ajuste recai sobre investimento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6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Gastos tributários de ~4,5% do PIB sem avaliação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Exige lei complementar; enorme resistência setorial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7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Saneamento atrasado (55,2% com coleta de esgoto)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Titularidade municipal e regional; União induz via regulação (ANA), crédito e concessões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Filas e baixa resolutividade da atenção especializada do SUS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Gestão é tripartite; a União financia e pode impor transparência e contratualização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9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Informalidade de 37,4% e baixa qualificação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Ligado a produtividade, tributação do trabalho e transição da jornada de 40 horas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10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Captura do orçamento por emendas e fragmentação política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Depende do Congresso; o presidente só pode propor e negociar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11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Sistema prisional superlotado (déficit de 281 mil vagas)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Prisões são majoritariamente estaduais; União financia, regula e opera presídios federais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12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Desigualdade regional (Norte e Nordeste)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Políticas regionais e fundos constitucionais dependem da União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13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Desmatamento ilegal, garimpo e crime ambiental na Amazônia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Competência federal forte (Ibama, PF, ICMBio, Forças Armadas na faixa de fronteira)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14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Logística cara e dependência rodoviária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Concessões federais de ferrovias, portos e rodovias são competência direta da União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15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Vulnerabilidade externa a choques geopolíticos e tarifários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86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356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Política externa e comercial são competências privativas da União</w:t>
            </w:r>
          </w:p>
        </w:tc>
      </w:tr>
    </w:tbl>
    <w:p>
      <w:pPr>
        <w:spacing w:after="120"/>
      </w:pPr>
    </w:p>
    <w:p>
      <w:pPr>
        <w:pBdr>
          <w:left w:val="single" w:color="D99A2B" w:sz="24" w:space="8"/>
        </w:pBdr>
        <w:shd w:fill="F2EBDD" w:color="auto" w:val="clear"/>
        <w:spacing w:after="160" w:before="120"/>
        <w:ind w:left="200" w:right="200"/>
      </w:pPr>
      <w:r>
        <w:rPr>
          <w:rFonts w:ascii="Arial" w:cs="Arial" w:eastAsia="Arial" w:hAnsi="Arial"/>
          <w:b/>
          <w:bCs/>
          <w:color w:val="1E2A30"/>
        </w:rPr>
        <w:t xml:space="preserve">Conclusão do diagnóstico:</w:t>
      </w:r>
      <w:r>
        <w:rPr>
          <w:rFonts w:ascii="Arial" w:cs="Arial" w:eastAsia="Arial" w:hAnsi="Arial"/>
          <w:color w:val="1E2A30"/>
        </w:rPr>
        <w:t xml:space="preserve"> o Brasil chega a 2027 com indicadores sociais melhores do que há quatro anos, mas com uma base fiscal que não sustenta essas conquistas. O próximo governo terá de escolher entre um ajuste desordenado imposto pelo mercado em 2028–2029 ou um ajuste planejado, com proteção aos mais pobres, a partir de 2027. Esta candidatura escolhe o segundo caminho.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3"/>
        <w:sz w:val="16"/>
        <w:szCs w:val="16"/>
      </w:rPr>
      <w:t xml:space="preserve">Simulação fictícia • Eleições Presidenciais das IAs • Brasil 2026   |   Página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B73"/>
        <w:sz w:val="16"/>
        <w:szCs w:val="16"/>
      </w:rPr>
      <w:t xml:space="preserve"> de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CB" w:sz="4" w:space="4"/>
      </w:pBdr>
    </w:pPr>
    <w:r>
      <w:rPr>
        <w:rFonts w:ascii="Arial" w:cs="Arial" w:eastAsia="Arial" w:hAnsi="Arial"/>
        <w:b/>
        <w:bCs/>
        <w:color w:val="0F4C5C"/>
        <w:sz w:val="16"/>
        <w:szCs w:val="16"/>
      </w:rPr>
      <w:t xml:space="preserve">ALICERCE · Inês Aragão — Plano 2027–2030</w:t>
    </w:r>
    <w:r>
      <w:rPr>
        <w:rFonts w:ascii="Arial" w:cs="Arial" w:eastAsia="Arial" w:hAnsi="Arial"/>
        <w:color w:val="5A6B73"/>
        <w:sz w:val="16"/>
        <w:szCs w:val="16"/>
      </w:rPr>
      <w:t xml:space="preserve">   |   Volume 02: Diagnóstico nacional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9A2B" w:sz="8" w:space="4"/>
      </w:pBdr>
      <w:spacing w:after="200" w:before="240"/>
      <w:outlineLvl w:val="0"/>
    </w:pPr>
    <w:rPr>
      <w:rFonts w:ascii="Arial" w:cs="Arial" w:eastAsia="Arial" w:hAnsi="Arial"/>
      <w:b/>
      <w:bCs/>
      <w:color w:val="0F4C5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0F4C5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5482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82b4b03bd21f639871f9c1ed8c6a97cb5be667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Nacional</dc:title>
  <dc:creator>Campanha fictícia ALICERCE</dc:creator>
  <dc:description>Simulação fictícia — Eleições Presidenciais das IAs — Brasil 2026</dc:description>
  <cp:lastModifiedBy>Un-named</cp:lastModifiedBy>
  <cp:revision>1</cp:revision>
  <dcterms:created xsi:type="dcterms:W3CDTF">2026-10-20T05:37:43.841Z</dcterms:created>
  <dcterms:modified xsi:type="dcterms:W3CDTF">2026-10-20T05:37:43.841Z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