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2190750" cy="2190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B5482F"/>
          <w:sz w:val="22"/>
          <w:szCs w:val="22"/>
        </w:rPr>
        <w:t xml:space="preserve">REGISTRO DE CANDIDATURA — ELEIÇÕES PRESIDENCIAIS DAS IAs — BRASIL 2026</w:t>
      </w:r>
    </w:p>
    <w:p>
      <w:pPr>
        <w:pBdr>
          <w:bottom w:val="single" w:color="D99A2B" w:sz="12" w:space="6"/>
        </w:pBdr>
        <w:spacing w:after="120"/>
        <w:jc w:val="center"/>
      </w:pPr>
      <w:r>
        <w:rPr>
          <w:rFonts w:ascii="Arial" w:cs="Arial" w:eastAsia="Arial" w:hAnsi="Arial"/>
          <w:b/>
          <w:bCs/>
          <w:color w:val="5A6B73"/>
          <w:sz w:val="26"/>
          <w:szCs w:val="26"/>
        </w:rPr>
        <w:t xml:space="preserve">VOLUME 03</w:t>
      </w:r>
    </w:p>
    <w:p>
      <w:pPr>
        <w:spacing w:after="160" w:before="300"/>
        <w:jc w:val="center"/>
      </w:pPr>
      <w:r>
        <w:rPr>
          <w:rFonts w:ascii="Arial" w:cs="Arial" w:eastAsia="Arial" w:hAnsi="Arial"/>
          <w:b/>
          <w:bCs/>
          <w:color w:val="0F4C5C"/>
          <w:sz w:val="44"/>
          <w:szCs w:val="44"/>
        </w:rPr>
        <w:t xml:space="preserve">PLANO DE GOVERNO 2027–2030 — INÊS ARAGÃO (Parte I)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1E2A30"/>
          <w:sz w:val="24"/>
          <w:szCs w:val="24"/>
        </w:rPr>
        <w:t xml:space="preserve">Eixos 1 a 10: economia, tributação, trabalho, saúde, educação, segurança, justiça, defesa, infraestrutura e energia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Candidata: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Inês Aragão Tavares — “Inês Aragão”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Vice: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Rafael Kerber Antunes — “Rafael Kerber”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Partido fictício: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ALICERCE — Partido Republicano da Capacidade Nacional (sigla ALC)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Slogan: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Fazer o Brasil funcionar.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Data-base: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20 de outubro de 2026 · Mandato hipotético 2027–2030</w:t>
      </w:r>
    </w:p>
    <w:p>
      <w:pPr>
        <w:spacing w:before="700"/>
        <w:jc w:val="center"/>
      </w:pPr>
      <w:r>
        <w:rPr>
          <w:rFonts w:ascii="Arial" w:cs="Arial" w:eastAsia="Arial" w:hAnsi="Arial"/>
          <w:i/>
          <w:iCs/>
          <w:color w:val="5A6B73"/>
          <w:sz w:val="16"/>
          <w:szCs w:val="16"/>
        </w:rPr>
        <w:t xml:space="preserve">Documento de simulação política fictícia. Personagens, partido, marca e trajetórias são inventados. Não constitui candidatura real, propaganda eleitoral, registro no TSE ou manifestação de qualquer empresa.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Sumário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Como ler o plano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1 — Economia e desenvolvimento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2 — Tributação e orçamento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3 — Emprego, trabalho e renda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4 — Saúde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5 — Educação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6 — Segurança pública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7 — Justiça e instituições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8 — Defesa nacional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9 — Infraestrutura e transporte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Eixo 10 — Energia e recursos naturais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Como ler o plano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Cada eixo segue a mesma estrutura: diagnóstico, objetivo político, propostas concretas, instrumentos, prazos, custo estimado, fonte de financiamento, indicador de sucesso e riscos. Cada proposta é marcada pelo tipo de instrumento que exige, porque um presidente não deve prometer o que não pode entregar sozinho: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Marcação</w:t>
            </w:r>
          </w:p>
        </w:tc>
        <w:tc>
          <w:tcPr>
            <w:tcW w:type="dxa" w:w="732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732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Executável por decreto, portaria, gestão ou contrato do Executivo federal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732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Exige lei ordinária aprovada pelo Congresso (maioria simples)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[LC]</w:t>
            </w:r>
          </w:p>
        </w:tc>
        <w:tc>
          <w:tcPr>
            <w:tcW w:type="dxa" w:w="732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Exige lei complementar (maioria absoluta: 257 deputados e 41 senadores)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[PEC]</w:t>
            </w:r>
          </w:p>
        </w:tc>
        <w:tc>
          <w:tcPr>
            <w:tcW w:type="dxa" w:w="732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Exige emenda constitucional (3/5 em dois turnos nas duas Casas)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[FED]</w:t>
            </w:r>
          </w:p>
        </w:tc>
        <w:tc>
          <w:tcPr>
            <w:tcW w:type="dxa" w:w="732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Depende da adesão ou execução de estados e municípios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Valores em reais correntes. Custos marcados como </w:t>
      </w:r>
      <w:r>
        <w:rPr>
          <w:rFonts w:ascii="Arial" w:cs="Arial" w:eastAsia="Arial" w:hAnsi="Arial"/>
          <w:b/>
          <w:bCs/>
        </w:rPr>
        <w:t xml:space="preserve">estimativa da campanha</w:t>
      </w:r>
      <w:r>
        <w:rPr>
          <w:rFonts w:ascii="Arial" w:cs="Arial" w:eastAsia="Arial" w:hAnsi="Arial"/>
        </w:rPr>
        <w:t xml:space="preserve"> foram calculados pela equipe com base nos dados do Volume 02 e consolidados no Volume 07; não são números oficiais. </w:t>
      </w:r>
      <w:r>
        <w:rPr>
          <w:rFonts w:ascii="Arial" w:cs="Arial" w:eastAsia="Arial" w:hAnsi="Arial"/>
          <w:b/>
          <w:bCs/>
        </w:rPr>
        <w:t xml:space="preserve">[HIPÓTESE]</w:t>
      </w:r>
      <w:r>
        <w:rPr>
          <w:rFonts w:ascii="Arial" w:cs="Arial" w:eastAsia="Arial" w:hAnsi="Arial"/>
        </w:rPr>
        <w:t xml:space="preserve"> PIB nominal de referência: R$ 14,8 tri (2027), R$ 15,7 tri (2028), R$ 16,6 tri (2029) e R$ 17,6 tri (2030), derivado da receita do PLOA 2027 e de crescimento nominal de cerca de 6% ao ano.</w:t>
      </w:r>
    </w:p>
    <w:p>
      <w:pPr>
        <w:pStyle w:val="Heading1"/>
      </w:pPr>
      <w:r>
        <w:rPr>
          <w:rFonts w:ascii="Arial" w:cs="Arial" w:eastAsia="Arial" w:hAnsi="Arial"/>
        </w:rPr>
        <w:t xml:space="preserve">Eixo 1 — Economia e desenvolvimento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PIB crescendo perto de 2% ao ano, sustentado por commodities e gasto público; investimento caindo a 16,1% do PIB; juros reais acima de 8% por risco fiscal; produtividade estagnada; obras públicas paralisadas e baixa execução de investimentos.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Elevar o crescimento potencial para perto de 2,5–3% ao ano até 2030 por meio de investimento privado, previsibilidade regulatória e queda estrutural dos juros via credibilidade fiscal.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1.1 Novo compromisso fiscal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metas de superávit primário de 0,5% (2027, regra vigente), 0,75% (2028), 1,25% (2029) e 1,75% do PIB (2030), com redução das deduções da meta a dois terços em 2028, um terço em 2029 e zero em 2030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[LC] alteração da LC 200/2023 + LDO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Envio em 60 dias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Ver Volume 07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1.2 Obra Parada Zero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inventário público de todas as obras federais paralisadas em 90 dias; decisão em 180 dias por retomar, relicitar ou encerrar formalmente; proibição de novas obras sem projeto executivo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decreto + [FED] para obras com convênio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90–180 dias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Realocação dentro do orçamento de investimentos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1.3 Lei de Previsibilidade Regulatória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análise de impacto obrigatória, prazo máximo para licenças federais e silêncio positivo para atos de baixo risco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Custo administrativo baixo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1.4 Programa Nacional de Concessões e PPPs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com carteira de 60 projetos em quatro anos (detalhe no Eixo 9)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[LEI] pontual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Investimento privado; fundo garantidor de R$ 3 bi (aporte único)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1.5 Conselho Nacional de Avaliação de Políticas Públicas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independente, com mandato fixo, para avaliar programas acima de R$ 1 bi por ano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R$ 60 mi/ano (estimativa da campanha)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1.6 Mercado de capitais para investimento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ampliar debêntures de infraestrutura e proteger a autonomia do Banco Central e da CVM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1º–2º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Fonte de financiamento.</w:t>
      </w:r>
      <w:r>
        <w:rPr>
          <w:rFonts w:ascii="Arial" w:cs="Arial" w:eastAsia="Arial" w:hAnsi="Arial"/>
        </w:rPr>
        <w:t xml:space="preserve"> Investimento privado via concessões; realocação de investimentos públicos; fundo garantidor capitalizado com receitas de desestatização (Eixo 15).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Taxa de investimento de 18,5% do PIB em 2030 (IBGE); número de obras federais paralisadas igual a zero ou formalmente encerradas.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Choques externos (petróleo, tarifas americanas); resistência do Congresso às metas fiscais mais duras; demora na queda dos juros mesmo com ajuste.</w:t>
      </w:r>
    </w:p>
    <w:p>
      <w:pPr>
        <w:pStyle w:val="Heading1"/>
      </w:pPr>
      <w:r>
        <w:rPr>
          <w:rFonts w:ascii="Arial" w:cs="Arial" w:eastAsia="Arial" w:hAnsi="Arial"/>
        </w:rPr>
        <w:t xml:space="preserve">Eixo 2 — Tributação e orçamento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Carga de 32,4% do PIB, recorde; gastos tributários de cerca de 4,5% do PIB sem avaliação; tributação concentrada no consumo; IRPJ+CSLL de 34% sobre o lucro, entre os mais altos do mundo; reforma do consumo em implantação a partir de 2027; despesas obrigatórias rígidas; R$ 44,8 bilhões de emendas previstos para 2027.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Não elevar a carga tributária total; torná-la mais progressiva e eficiente; cortar privilégios; recuperar a capacidade do orçamento de financiar prioridades.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2.1 Corte de gastos tributários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de 4,5% para 3,3% do PIB até 2030, com cláusula de extinção automática em 5 anos para todo benefício sem avaliação positiva. Inclui revisão do Simples Nacional (redução gradual do teto para quem não exporta nem inova), de benefícios do agronegócio sem contrapartida e transição da Zona Franca de Manaus para um fundo de bioeconomia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[LC] + [PEC] para a Zona Franca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Envio em 60 dias; efeito 2028–2030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Receita de +R$ 150 bi/ano em 2030 no cenário central (estimativa da campanha)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2.2 Reforma neutra do IR das empresas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redução de IRPJ+CSLL de 34% para 28% até 2030, compensada por tributação integral de dividendos acima da faixa de isenção e fim dos Juros sobre Capital Próprio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Neutra por construção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2.3 Implantação da reforma do consumo sem novas exceções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; veto a qualquer tentativa de ampliar regimes diferenciados da CBS/IBS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veto + regulamentação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Evita perda de arrecadação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2.4 Teto e transparência de emendas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limite de R$ 30 bi reais/ano, fim das transferências especiais sem destinação (“emendas Pix”) e rastreabilidade obrigatória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[PEC]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Envio em 60 dias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Economia de até R$ 15 bi/ano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2.5 Orçamento por resultados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cada programa com meta e indicador; programas mal avaliados perdem dotação no ano seguinte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LDO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2028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2.6 Gestão da dívida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alongar prazo médio e elevar a participação de títulos prefixados e indexados à inflação conforme o ajuste ganhe credibilidade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Tesouro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Redução gradual do custo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Fonte de financiamento.</w:t>
      </w:r>
      <w:r>
        <w:rPr>
          <w:rFonts w:ascii="Arial" w:cs="Arial" w:eastAsia="Arial" w:hAnsi="Arial"/>
        </w:rPr>
        <w:t xml:space="preserve"> Este eixo é a principal fonte de financiamento do programa.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Gastos tributários abaixo de 3,5% do PIB no DGT de 2030; carga tributária bruta entre 32% e 33% do PIB com maior participação da renda.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Bancadas setoriais e regionais (agro, Amazonas, comércio e serviços) bloqueando a LC; litígios judiciais; percepção de aumento de impostos por quem perde benefícios.</w:t>
      </w:r>
    </w:p>
    <w:p>
      <w:pPr>
        <w:pStyle w:val="Heading1"/>
      </w:pPr>
      <w:r>
        <w:rPr>
          <w:rFonts w:ascii="Arial" w:cs="Arial" w:eastAsia="Arial" w:hAnsi="Arial"/>
        </w:rPr>
        <w:t xml:space="preserve">Eixo 3 — Emprego, trabalho e renda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Desemprego de 5,4%, mas informalidade de 37,4% e subutilização de 12,9%; redução constitucional da jornada para 40 horas em vigor a partir da promulgação de outubro de 2026, com transição de 14 meses; trabalho por aplicativos sem proteção previdenciária adequada; automação e IA ameaçando ocupações administrativas.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Implementar a jornada de 40 horas sem destruir empregos formais, reduzir a informalidade e preparar trabalhadores para a transição tecnológica.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Posição sobre a jornada.</w:t>
      </w:r>
      <w:r>
        <w:rPr>
          <w:rFonts w:ascii="Arial" w:cs="Arial" w:eastAsia="Arial" w:hAnsi="Arial"/>
        </w:rPr>
        <w:t xml:space="preserve"> A candidata </w:t>
      </w:r>
      <w:r>
        <w:rPr>
          <w:rFonts w:ascii="Arial" w:cs="Arial" w:eastAsia="Arial" w:hAnsi="Arial"/>
          <w:b/>
          <w:bCs/>
        </w:rPr>
        <w:t xml:space="preserve">não proporá reverter</w:t>
      </w:r>
      <w:r>
        <w:rPr>
          <w:rFonts w:ascii="Arial" w:cs="Arial" w:eastAsia="Arial" w:hAnsi="Arial"/>
        </w:rPr>
        <w:t xml:space="preserve"> a redução para 40 horas aprovada pelo Congresso. Reverter uma emenda recém-promulgada geraria insegurança e conflito; o papel do governo é fazer a transição funcionar.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3.1 Transição 40 horas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linha de crédito de R$ 5 bi via BNDES para micro e pequenas empresas reorganizarem escalas e investirem em produtividade; guia técnico e mediação pelo MTE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100 dias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Subsídio implícito de ≈R$ 1 bi/ano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3.2 Lei do Trabalho em Plataformas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contribuição previdenciária proporcional, remuneração mínima por hora efetivamente trabalhada, transparência algorítmica e direito de contestação de bloqueios, sem vínculo CLT obrigatório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[LC] (previdência) + 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Receita previdenciária positiva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3.3 Salário mínimo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manter a regra de reajuste pela inflação mais ganho real limitado pela banda do arcabouço (0,6% a 2,5%)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 vigente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 em relação à regra atual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3.4 Requalificação para a era da IA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1 milhão de vagas em cursos técnicos curtos com certificação reconhecida pelo mercado, priorizando trabalhadores de ocupações automatizáveis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Sistema 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R$ 2 bi/ano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3.5 Formalização simples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transição suave do MEI para a microempresa, sem salto tributário abrupto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Integrado à revisão do Simples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Fonte de financiamento.</w:t>
      </w:r>
      <w:r>
        <w:rPr>
          <w:rFonts w:ascii="Arial" w:cs="Arial" w:eastAsia="Arial" w:hAnsi="Arial"/>
        </w:rPr>
        <w:t xml:space="preserve"> Revisão de gastos tributários (Eixo 2); recursos do FAT e do Sistema S para qualificação.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Informalidade abaixo de 34% em 2030 (PNAD Contínua); emprego formal estável ou crescente nos 12 meses seguintes a cada etapa da jornada (Caged).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Aumento de custos no comércio e serviços com repasse a preços; resistência das plataformas; baixa adesão a cursos.</w:t>
      </w:r>
    </w:p>
    <w:p>
      <w:pPr>
        <w:pStyle w:val="Heading1"/>
      </w:pPr>
      <w:r>
        <w:rPr>
          <w:rFonts w:ascii="Arial" w:cs="Arial" w:eastAsia="Arial" w:hAnsi="Arial"/>
        </w:rPr>
        <w:t xml:space="preserve">Eixo 4 — Saúde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SUS universal com filas opacas para atenção especializada; financiamento dependente de emendas pulverizadas; milhares de hospitais de baixa resolutividade; demanda crescente de saúde mental e de doenças crônicas com o envelhecimento.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Transformar a fila do SUS em compromisso público mensurável e reduzir o tempo de espera por atenção especializada.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4.1 Fila Pública Nacional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cadastro único, público e auditável de consultas especializadas, exames e cirurgias eletivas, com tempo de espera por município; repasses federais condicionados à adesão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portaria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100 dias (painel); 1 ano (integração)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R$ 300 mi (implantação)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4.2 Programa Fila Zero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contratação complementar de serviços privados e filantrópicos com tabela de preços por pacote de cuidado, metas de redução e auditoria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+R$ 10 bi/ano em 2030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4.3 Hospitais regionais por consórcio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transformar hospitais de pequeno porte em unidades de cuidados básicos e concentrar cirurgias em hospitais regionais de maior escala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incentivo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2028–2030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Dentro dos R$ 10 bi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4.4 Saúde mental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ampliar os CAPS e incluir atendimento psicológico na atenção básica, com telessaúde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2027–2029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+R$ 1,5 bi/ano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4.5 Telessaúde nacional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para especialidades em municípios sem especialistas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+R$ 1 bi/ano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4.6 Emendas de saúde por critério técnico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emendas na saúde só para estabelecimentos e ações aprovados por planos regionais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[PEC] (integrada à 2.4)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1º–2º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Melhor alocação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Posição sobre participação privada.</w:t>
      </w:r>
      <w:r>
        <w:rPr>
          <w:rFonts w:ascii="Arial" w:cs="Arial" w:eastAsia="Arial" w:hAnsi="Arial"/>
        </w:rPr>
        <w:t xml:space="preserve"> A contratação complementar de serviços privados já é prevista na Constituição (art. 199). A candidata amplia essa contratação para reduzir filas, com preço por resultado e transparência. Não propõe privatizar a atenção básica nem a gestão do SUS.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Fonte de financiamento.</w:t>
      </w:r>
      <w:r>
        <w:rPr>
          <w:rFonts w:ascii="Arial" w:cs="Arial" w:eastAsia="Arial" w:hAnsi="Arial"/>
        </w:rPr>
        <w:t xml:space="preserve"> Revisão de gastos tributários; reorientação de emendas da saúde.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Redução de 30% do estoque de cirurgias eletivas no 1º ano de funcionamento da Fila Pública e tempo médio de espera publicado e decrescente.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Baixa adesão de estados e municípios; capacidade privada insuficiente em regiões remotas; fraude em faturamento (mitigada por auditoria).</w:t>
      </w:r>
    </w:p>
    <w:p>
      <w:pPr>
        <w:pStyle w:val="Heading1"/>
      </w:pPr>
      <w:r>
        <w:rPr>
          <w:rFonts w:ascii="Arial" w:cs="Arial" w:eastAsia="Arial" w:hAnsi="Arial"/>
        </w:rPr>
        <w:t xml:space="preserve">Eixo 5 — Educação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Alfabetização em 66% ao fim do 2º ano (2025), com 780 mil crianças abaixo do padrão; ensino médio com baixa aprendizagem e evasão; formação técnica muito abaixo de países de renda semelhante; ensino superior público gratuito também para estudantes de alta renda.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Garantir que toda criança saia alfabetizada do 2º ano e que metade dos jovens do ensino médio tenha formação técnica integrada até 2036.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5.1 Alfabetização na idade certa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ampliar o Compromisso Nacional Criança Alfabetizada com avaliação padronizada pelo Inep em todas as redes, material estruturado e bônus federal a redes que melhorarem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+R$ 3 bi/ano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5.2 Creche para os mais pobres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prioridade de vagas e financiamento para crianças do Cadastro Único de 0 a 3 anos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+R$ 3 bi/ano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5.3 Ensino Médio Técnico Integral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+1 milhão de matrículas em educação profissional integrada, com redes estaduais, institutos federais e Sistema 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+R$ 12 bi/ano em 2030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5.4 Carreira docente com avaliação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piso nacional mantido, com progressão vinculada a formação e a avaliação de práticas em sala, negociada com redes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Integrado aos repasses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5.5 Contribuição do graduado de alta renda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egressos de universidades públicas com renda acima de 15 salários mínimos pagam contribuição adicional no IR por até 10 anos, revertida ao ensino superior e à permanência estudantil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[PEC] (preserva a gratuidade no ato do ensino)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Envio no 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Receita futura estimada a partir de 2031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5.6 Financiamento estudantil com pagamento proporcional à renda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(FIES com amortização contingente)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 a médio prazo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Fonte de financiamento.</w:t>
      </w:r>
      <w:r>
        <w:rPr>
          <w:rFonts w:ascii="Arial" w:cs="Arial" w:eastAsia="Arial" w:hAnsi="Arial"/>
        </w:rPr>
        <w:t xml:space="preserve"> Revisão de gastos tributários; complementação ao Fundeb já prevista; contribuição do graduado a longo prazo.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Indicador Criança Alfabetizada de 75% em 2028 e 80% em 2030 (Inep); matrículas em EPT de nível médio +1 milhão (Censo Escolar).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Execução depende de 5.570 municípios e 27 redes estaduais; resistência de sindicatos à avaliação docente; forte oposição à contribuição do graduado.</w:t>
      </w:r>
    </w:p>
    <w:p>
      <w:pPr>
        <w:pStyle w:val="Heading1"/>
      </w:pPr>
      <w:r>
        <w:rPr>
          <w:rFonts w:ascii="Arial" w:cs="Arial" w:eastAsia="Arial" w:hAnsi="Arial"/>
        </w:rPr>
        <w:t xml:space="preserve">Eixo 6 — Segurança pública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40.775 mortes violentas em 2025, em queda, mas com feminicídios e mortes por intervenção policial em alta; facções infiltradas em combustíveis, fintechs, garimpo e apostas; 964.668 pessoas presas e déficit de 281 mil vagas; prisões controladas por facções; PEC da Segurança em fase final no Senado.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Atacar o crime organizado pelo dinheiro e pelo comando, retomar o controle das prisões e reduzir as mortes violentas a menos de 16 por 100 mil habitantes até 2029.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6.1 Agência Nacional de Combate ao Crime Organizado (ANCO)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integra inteligência da PF, Coaf, Receita, Banco Central, ANP e polícias estaduais aderentes, com forças-tarefa permanentes por facção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Medida provisória convertida em 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100 dias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+R$ 2 bi/ano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6.2 Asfixia financeira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rastreamento de beneficiário final em fintechs, combustíveis e apostas; confisco alargado de bens; leilão rápido de ativos apreendidos com receita para os fundos de segurança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 + 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Receita de ativos confiscados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6.3 Presídios federais de segurança máxima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três novas unidades para lideranças, isolamento de comunicação e bloqueio de celulares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Contratação no 1º ano; entrega até 2029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R$ 8 bi de investimento total + R$ 1 bi/ano de custeio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6.4 Plano Nacional de Redução de Homicídios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com metas por estado, repasses do FNSP condicionados a resultados, câmeras corporais e protocolos de uso da força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Recursos do FNSP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6.5 Fronteiras e Amazônia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integração PF, PRF, Forças Armadas (faixa de fronteira) e Ibama contra narcogarimpo e tráfico de armas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+R$ 1,5 bi/ano (efetivo PF e PRF)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6.6 Execução penal e reincidência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trabalho e estudo obrigatórios em unidades federais, mutirões de revisão de prisões provisórias com o CNJ, penas alternativas para crimes sem violência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[LEI] + CNJ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Economia por redução de presos provisórios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6.7 Feminicídio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monitoramento eletrônico obrigatório de agressores com medida protetiva de alto risco e casas da mulher em todas as cidades acima de 100 mil habitantes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2027–2029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R$ 500 mi/ano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Política de drogas.</w:t>
      </w:r>
      <w:r>
        <w:rPr>
          <w:rFonts w:ascii="Arial" w:cs="Arial" w:eastAsia="Arial" w:hAnsi="Arial"/>
        </w:rPr>
        <w:t xml:space="preserve"> Manter o entendimento do STF que distingue usuário de traficante para porte de maconha para uso pessoal; regulamentar o uso medicinal da cannabis; </w:t>
      </w:r>
      <w:r>
        <w:rPr>
          <w:rFonts w:ascii="Arial" w:cs="Arial" w:eastAsia="Arial" w:hAnsi="Arial"/>
          <w:b/>
          <w:bCs/>
        </w:rPr>
        <w:t xml:space="preserve">não</w:t>
      </w:r>
      <w:r>
        <w:rPr>
          <w:rFonts w:ascii="Arial" w:cs="Arial" w:eastAsia="Arial" w:hAnsi="Arial"/>
        </w:rPr>
        <w:t xml:space="preserve"> propor legalização do comércio recreativo; concentrar a repressão no tráfico organizado e na lavagem.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PEC da Segurança.</w:t>
      </w:r>
      <w:r>
        <w:rPr>
          <w:rFonts w:ascii="Arial" w:cs="Arial" w:eastAsia="Arial" w:hAnsi="Arial"/>
        </w:rPr>
        <w:t xml:space="preserve"> Se promulgada, o governo a regulamentará em 180 dias. Se não, reapresentará os pontos de integração (SUSP, fundos protegidos) em nova PEC.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Fonte de financiamento.</w:t>
      </w:r>
      <w:r>
        <w:rPr>
          <w:rFonts w:ascii="Arial" w:cs="Arial" w:eastAsia="Arial" w:hAnsi="Arial"/>
        </w:rPr>
        <w:t xml:space="preserve"> FNSP e Funpen; ativos confiscados; revisão de gastos tributários.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Mortes violentas intencionais abaixo de 16 por 100 mil em 2029 (Anuário FBSP); redução de mortes por intervenção policial; ativos confiscados de facções (em R$).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Reação violenta de facções (ver Crise B, Volume 08); dependência de governadores; corrupção policial.</w:t>
      </w:r>
    </w:p>
    <w:p>
      <w:pPr>
        <w:pStyle w:val="Heading1"/>
      </w:pPr>
      <w:r>
        <w:rPr>
          <w:rFonts w:ascii="Arial" w:cs="Arial" w:eastAsia="Arial" w:hAnsi="Arial"/>
        </w:rPr>
        <w:t xml:space="preserve">Eixo 7 — Justiça e instituições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Judiciário caro e lento; supersalários acima do teto; prescrição de crimes de corrupção; decisões monocráticas de grande impacto; acesso desigual à Justiça.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Justiça mais rápida e igual para todos, sem privilégios remuneratórios, com combate eficaz à corrupção e respeito às garantias.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7.1 Lei do Teto Efetivo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lista fechada e taxativa de verbas indenizatórias, fim de “penduricalhos” acima do teto em todos os Poderes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 (ou [PEC] se necessário)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Envio em 60 dias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Economia estimada de R$ 5 bi/ano (estimativa da campanha, a validar)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7.2 Prescrição e recursos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suspensão da prescrição após condenação em 2ª instância e limitação de recursos protelatórios, sem tocar a presunção de inocência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1º–2º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7.3 Defensoria Pública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presente em todas as comarcas com população acima de 50 mil habitantes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(DPU)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+R$ 500 mi/ano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7.4 Transparência ativa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agenda pública obrigatória de ministros e dirigentes, registro de lobby e publicação de contratos em formato aberto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decreto + [LEI] (lobby)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100 dias (decreto)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Baixo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7.5 Proposta ao Congresso de limites a decisões monocráticas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que suspendam leis, com referendo obrigatório do colegiado em prazo curto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[PEC] (iniciativa parlamentar apoiada)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Fonte de financiamento.</w:t>
      </w:r>
      <w:r>
        <w:rPr>
          <w:rFonts w:ascii="Arial" w:cs="Arial" w:eastAsia="Arial" w:hAnsi="Arial"/>
        </w:rPr>
        <w:t xml:space="preserve"> Economia com o teto efetivo cobre a ampliação da Defensoria.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Nenhuma remuneração acima do teto publicada nos portais de transparência em 2030; tempo médio de tramitação de ações penais por corrupção (CNJ).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Reação corporativa; questionamentos judiciais sobre autonomia dos Poderes.</w:t>
      </w:r>
    </w:p>
    <w:p>
      <w:pPr>
        <w:pStyle w:val="Heading1"/>
      </w:pPr>
      <w:r>
        <w:rPr>
          <w:rFonts w:ascii="Arial" w:cs="Arial" w:eastAsia="Arial" w:hAnsi="Arial"/>
        </w:rPr>
        <w:t xml:space="preserve">Eixo 8 — Defesa nacional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Orçamento de defesa dominado por pessoal e pensões; baixa capacidade de investimento em equipamentos; vigilância incompleta da Amazônia e das fronteiras; vulnerabilidade cibernética do Estado; dependência externa de satélites.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Forças Armadas profissionais, modernas e voltadas à proteção da Amazônia, do Atlântico Sul, do espaço cibernético e das fronteiras, com subordinação plena ao poder civil.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8.1 Reforma das pensões e carreiras militares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idade mínima e tempo de serviço convergentes com o regime geral em transição, fim de pensões vitalícias para novas filhas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1º–2º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Economia crescente; 50% reinvestida em equipamento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8.2 Conclusão do SISFRON e do monitoramento amazônico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integrado a radares, satélites e drones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Reinvestimento das economias da 8.1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8.3 Comando de Defesa Cibernética reforçado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e Agência Nacional de Segurança Cibernética para a administração pública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R$ 400 mi/ano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8.4 Indústria de defesa exportadora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priorizar compras com transferência de tecnologia e conteúdo nacional verificável (aeronaves, blindados, satélites)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8.5 Satélite geoestacionário de defesa e comunicações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de segunda geração, com parceria internacional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Contratação até 2029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Financiado com reinvestimento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8.6 Regras democráticas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militares da ativa não ocupam cargos civis de primeiro escalão; transição para a reserva antes de assumir cargos políticos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Fonte de financiamento.</w:t>
      </w:r>
      <w:r>
        <w:rPr>
          <w:rFonts w:ascii="Arial" w:cs="Arial" w:eastAsia="Arial" w:hAnsi="Arial"/>
        </w:rPr>
        <w:t xml:space="preserve"> Orçamento de defesa estável em termos reais, com recomposição do investimento via economias de pessoal e pensões.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Investimento acima de 15% do orçamento de defesa em 2030; cobertura de monitoramento da faixa de fronteira (Ministério da Defesa).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Resistência das corporações militares; atrasos industriais.</w:t>
      </w:r>
    </w:p>
    <w:p>
      <w:pPr>
        <w:pStyle w:val="Heading1"/>
      </w:pPr>
      <w:r>
        <w:rPr>
          <w:rFonts w:ascii="Arial" w:cs="Arial" w:eastAsia="Arial" w:hAnsi="Arial"/>
        </w:rPr>
        <w:t xml:space="preserve">Eixo 9 — Infraestrutura e transporte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Logística dependente de rodovias; ferrovias subutilizadas; portos com gargalos; mobilidade urbana precária nas metrópoles; investimento público baixo e muitas obras paralisadas.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Reduzir o custo logístico e ampliar a participação ferroviária e hidroviária com investimento majoritariamente privado.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9.1 Carteira de 60 concessões e PPPs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federais em quatro anos (rodovias, ferrovias, portos, aeroportos regionais, hidrovias) com modelagem padronizada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(Lei de Concessões vigente)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15 qualificados e 8 leiloados no 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Investimento privado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9.2 Ferrovias por autorização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com segurança jurídica e corredores prioritários de exportação ligando Centro-Oeste e Norte aos portos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[LEI] pontual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Investimento privado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9.3 Hidrovias do Norte e do São Francisco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com dragagem contratada por desempenho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2028–2030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R$ 1 bi/ano (realocado)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9.4 Mobilidade urbana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financiamento federal a corredores de ônibus e trilhos condicionado a planos metropolitanos e tarifa integrada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[FED]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Crédito via BNDES e FGTS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9.5 Fundo Garantidor de PPPs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para estados e municípios com boa governança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Aporte único de R$ 3 bi de receitas de desestatização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Fonte de financiamento.</w:t>
      </w:r>
      <w:r>
        <w:rPr>
          <w:rFonts w:ascii="Arial" w:cs="Arial" w:eastAsia="Arial" w:hAnsi="Arial"/>
        </w:rPr>
        <w:t xml:space="preserve"> Capital privado, BNDES, FGTS e fundo garantidor.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Participação ferroviária na matriz de transporte de carga; número de leilões concluídos; investimento contratado em concessões.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Juros altos encarecem projetos; judicialização ambiental; licitações desertas.</w:t>
      </w:r>
    </w:p>
    <w:p>
      <w:pPr>
        <w:pStyle w:val="Heading1"/>
      </w:pPr>
      <w:r>
        <w:rPr>
          <w:rFonts w:ascii="Arial" w:cs="Arial" w:eastAsia="Arial" w:hAnsi="Arial"/>
        </w:rPr>
        <w:t xml:space="preserve">Eixo 10 — Energia e recursos naturais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Diagnóstico.</w:t>
      </w:r>
      <w:r>
        <w:rPr>
          <w:rFonts w:ascii="Arial" w:cs="Arial" w:eastAsia="Arial" w:hAnsi="Arial"/>
        </w:rPr>
        <w:t xml:space="preserve"> Matriz elétrica majoritariamente renovável; petróleo e gás em expansão (extrativa +12% em 12 meses); conta de luz pressionada por encargos e subsídios cruzados; Angra 3 paralisada há anos; choque geopolítico no petróleo em 2026; minerais críticos pouco explorados com valor agregado.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Objetivo político.</w:t>
      </w:r>
      <w:r>
        <w:rPr>
          <w:rFonts w:ascii="Arial" w:cs="Arial" w:eastAsia="Arial" w:hAnsi="Arial"/>
        </w:rPr>
        <w:t xml:space="preserve"> Energia limpa, firme e mais barata; uso das receitas do petróleo para financiar a transição; exploração mineral com rastreabilidade e agregação de valor.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542"/>
        <w:gridCol w:w="1542"/>
        <w:gridCol w:w="269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/ impacto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10.1 Conclusão de Angra 3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com parceiro privado minoritário, tarifa definida em leilão de energia de reserva e auditoria independente de custos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+ CNPE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Decisão em 120 dias; operação após 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Financiada por tarifa e mercado, sem aporte primário do Tesouro além de garantias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10.2 Programa de pequenos reatores modulares (SMR)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pesquisa e licenciamento com parceria internacional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R$ 300 mi/ano (FNDCT)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10.3 Margem Equatorial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autorizar exploração com licenciamento rigoroso, plano de emergência certificado e destinação de parte dos royalties ao Fundo de Transição Energética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 (Ibama/ANP) + [LEI] para o fundo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2027–2030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Receita adicional futura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10.4 Reforma do setor elétrico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abertura gradual do mercado livre para consumidores residenciais e revisão de subsídios na conta de luz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Redução de encargos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10.5 Minerais críticos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política nacional com rastreabilidade de origem, agregação de valor no país e proibição efetiva de garimpo em terras indígenas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[LEI] + 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2º ano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10.6 Hidrogênio de baixo carbono e biocombustíveis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com regulação estável e acesso a portos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[EXEC]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Contínuo</w:t>
            </w:r>
          </w:p>
        </w:tc>
        <w:tc>
          <w:tcPr>
            <w:tcW w:type="dxa" w:w="269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Incentivos já previstos em lei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Petrobras.</w:t>
      </w:r>
      <w:r>
        <w:rPr>
          <w:rFonts w:ascii="Arial" w:cs="Arial" w:eastAsia="Arial" w:hAnsi="Arial"/>
        </w:rPr>
        <w:t xml:space="preserve"> Permanece sob controle estatal, com política de preços alinhada a referências de mercado, governança protegida por lei e sem uso para controle inflacionário.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Fonte de financiamento.</w:t>
      </w:r>
      <w:r>
        <w:rPr>
          <w:rFonts w:ascii="Arial" w:cs="Arial" w:eastAsia="Arial" w:hAnsi="Arial"/>
        </w:rPr>
        <w:t xml:space="preserve"> Tarifas, capital privado, royalties e participações especiais do petróleo.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Indicador de sucesso.</w:t>
      </w:r>
      <w:r>
        <w:rPr>
          <w:rFonts w:ascii="Arial" w:cs="Arial" w:eastAsia="Arial" w:hAnsi="Arial"/>
        </w:rPr>
        <w:t xml:space="preserve"> Participação renovável na matriz elétrica acima de 85%; tarifa média residencial real estável ou em queda; cronograma contratado de Angra 3.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Riscos.</w:t>
      </w:r>
      <w:r>
        <w:rPr>
          <w:rFonts w:ascii="Arial" w:cs="Arial" w:eastAsia="Arial" w:hAnsi="Arial"/>
        </w:rPr>
        <w:t xml:space="preserve"> Custo de Angra 3 acima do previsto; acidentes ambientais na Margem Equatorial; oposição de grupos ambientalistas e de distribuidoras.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3"/>
        <w:sz w:val="16"/>
        <w:szCs w:val="16"/>
      </w:rPr>
      <w:t xml:space="preserve">Simulação fictícia • Eleições Presidenciais das IAs • Brasil 2026   |   Página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B73"/>
        <w:sz w:val="16"/>
        <w:szCs w:val="16"/>
      </w:rPr>
      <w:t xml:space="preserve"> de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CB" w:sz="4" w:space="4"/>
      </w:pBdr>
    </w:pPr>
    <w:r>
      <w:rPr>
        <w:rFonts w:ascii="Arial" w:cs="Arial" w:eastAsia="Arial" w:hAnsi="Arial"/>
        <w:b/>
        <w:bCs/>
        <w:color w:val="0F4C5C"/>
        <w:sz w:val="16"/>
        <w:szCs w:val="16"/>
      </w:rPr>
      <w:t xml:space="preserve">ALICERCE · Inês Aragão — Plano 2027–2030</w:t>
    </w:r>
    <w:r>
      <w:rPr>
        <w:rFonts w:ascii="Arial" w:cs="Arial" w:eastAsia="Arial" w:hAnsi="Arial"/>
        <w:color w:val="5A6B73"/>
        <w:sz w:val="16"/>
        <w:szCs w:val="16"/>
      </w:rPr>
      <w:t xml:space="preserve">   |   Volume 03: Plano de governo — eixos 1 a 10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9A2B" w:sz="8" w:space="4"/>
      </w:pBdr>
      <w:spacing w:after="200" w:before="240"/>
      <w:outlineLvl w:val="0"/>
    </w:pPr>
    <w:rPr>
      <w:rFonts w:ascii="Arial" w:cs="Arial" w:eastAsia="Arial" w:hAnsi="Arial"/>
      <w:b/>
      <w:bCs/>
      <w:color w:val="0F4C5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0F4C5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5482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82b4b03bd21f639871f9c1ed8c6a97cb5be667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GOVERNO 2027–2030 — INÊS ARAGÃO (Parte I)</dc:title>
  <dc:creator>Campanha fictícia ALICERCE</dc:creator>
  <dc:description>Simulação fictícia — Eleições Presidenciais das IAs — Brasil 2026</dc:description>
  <cp:lastModifiedBy>Un-named</cp:lastModifiedBy>
  <cp:revision>1</cp:revision>
  <dcterms:created xsi:type="dcterms:W3CDTF">2026-10-20T05:37:43.938Z</dcterms:created>
  <dcterms:modified xsi:type="dcterms:W3CDTF">2026-10-20T05:37:43.938Z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