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2190750" cy="21907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B5482F"/>
          <w:sz w:val="22"/>
          <w:szCs w:val="22"/>
        </w:rPr>
        <w:t xml:space="preserve">REGISTRO DE CANDIDATURA — ELEIÇÕES PRESIDENCIAIS DAS IAs — BRASIL 2026</w:t>
      </w:r>
    </w:p>
    <w:p>
      <w:pPr>
        <w:pBdr>
          <w:bottom w:val="single" w:color="D99A2B" w:sz="12" w:space="6"/>
        </w:pBdr>
        <w:spacing w:after="120"/>
        <w:jc w:val="center"/>
      </w:pPr>
      <w:r>
        <w:rPr>
          <w:rFonts w:ascii="Arial" w:cs="Arial" w:eastAsia="Arial" w:hAnsi="Arial"/>
          <w:b/>
          <w:bCs/>
          <w:color w:val="5A6B73"/>
          <w:sz w:val="26"/>
          <w:szCs w:val="26"/>
        </w:rPr>
        <w:t xml:space="preserve">VOLUME 04</w:t>
      </w:r>
    </w:p>
    <w:p>
      <w:pPr>
        <w:spacing w:after="160" w:before="300"/>
        <w:jc w:val="center"/>
      </w:pPr>
      <w:r>
        <w:rPr>
          <w:rFonts w:ascii="Arial" w:cs="Arial" w:eastAsia="Arial" w:hAnsi="Arial"/>
          <w:b/>
          <w:bCs/>
          <w:color w:val="0F4C5C"/>
          <w:sz w:val="44"/>
          <w:szCs w:val="44"/>
        </w:rPr>
        <w:t xml:space="preserve">PLANO DE GOVERNO 2027–2030 — INÊS ARAGÃO (Parte II)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1E2A30"/>
          <w:sz w:val="24"/>
          <w:szCs w:val="24"/>
        </w:rPr>
        <w:t xml:space="preserve">Eixos 11 a 20: agricultura e meio ambiente, cidades e saneamento, proteção social, ciência e IA, reforma do Estado, cultura, direitos civis, desenvolvimento regional, comércio exterior e governabilidade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Candidata: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Inês Aragão Tavares — “Inês Aragão”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Vice: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Rafael Kerber Antunes — “Rafael Kerber”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Partido fictício: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ALICERCE — Partido Republicano da Capacidade Nacional (sigla ALC)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Slogan: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Fazer o Brasil funcionar.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Data-base: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20 de outubro de 2026 · Mandato hipotético 2027–2030</w:t>
      </w:r>
    </w:p>
    <w:p>
      <w:pPr>
        <w:spacing w:before="700"/>
        <w:jc w:val="center"/>
      </w:pPr>
      <w:r>
        <w:rPr>
          <w:rFonts w:ascii="Arial" w:cs="Arial" w:eastAsia="Arial" w:hAnsi="Arial"/>
          <w:i/>
          <w:iCs/>
          <w:color w:val="5A6B73"/>
          <w:sz w:val="16"/>
          <w:szCs w:val="16"/>
        </w:rPr>
        <w:t xml:space="preserve">Documento de simulação política fictícia. Personagens, partido, marca e trajetórias são inventados. Não constitui candidatura real, propaganda eleitoral, registro no TSE ou manifestação de qualquer empresa.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Sumário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Convenções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11 — Agricultura e meio ambiente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12 — Habitação, cidades e saneamento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13 — Previdência e assistência social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14 — Ciência, tecnologia e inteligência artificial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15 — Administração pública e reforma do Estado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16 — Cultura, turismo e esporte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17 — Direitos civis e questões sociais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18 — Desenvolvimento regional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19 — Comércio exterior e indústria estratégica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20 — Reforma política e governabilidade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Convenções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As marcações de instrumento são as mesmas da Parte I (Volume 03): </w:t>
      </w:r>
      <w:r>
        <w:rPr>
          <w:rFonts w:ascii="Arial" w:cs="Arial" w:eastAsia="Arial" w:hAnsi="Arial"/>
          <w:b/>
          <w:bCs/>
        </w:rPr>
        <w:t xml:space="preserve">[EXEC]</w:t>
      </w:r>
      <w:r>
        <w:rPr>
          <w:rFonts w:ascii="Arial" w:cs="Arial" w:eastAsia="Arial" w:hAnsi="Arial"/>
        </w:rPr>
        <w:t xml:space="preserve"> Executivo; </w:t>
      </w:r>
      <w:r>
        <w:rPr>
          <w:rFonts w:ascii="Arial" w:cs="Arial" w:eastAsia="Arial" w:hAnsi="Arial"/>
          <w:b/>
          <w:bCs/>
        </w:rPr>
        <w:t xml:space="preserve">[LEI]</w:t>
      </w:r>
      <w:r>
        <w:rPr>
          <w:rFonts w:ascii="Arial" w:cs="Arial" w:eastAsia="Arial" w:hAnsi="Arial"/>
        </w:rPr>
        <w:t xml:space="preserve"> lei ordinária; </w:t>
      </w:r>
      <w:r>
        <w:rPr>
          <w:rFonts w:ascii="Arial" w:cs="Arial" w:eastAsia="Arial" w:hAnsi="Arial"/>
          <w:b/>
          <w:bCs/>
        </w:rPr>
        <w:t xml:space="preserve">[LC]</w:t>
      </w:r>
      <w:r>
        <w:rPr>
          <w:rFonts w:ascii="Arial" w:cs="Arial" w:eastAsia="Arial" w:hAnsi="Arial"/>
        </w:rPr>
        <w:t xml:space="preserve"> lei complementar; </w:t>
      </w:r>
      <w:r>
        <w:rPr>
          <w:rFonts w:ascii="Arial" w:cs="Arial" w:eastAsia="Arial" w:hAnsi="Arial"/>
          <w:b/>
          <w:bCs/>
        </w:rPr>
        <w:t xml:space="preserve">[PEC]</w:t>
      </w:r>
      <w:r>
        <w:rPr>
          <w:rFonts w:ascii="Arial" w:cs="Arial" w:eastAsia="Arial" w:hAnsi="Arial"/>
        </w:rPr>
        <w:t xml:space="preserve"> emenda constitucional; </w:t>
      </w:r>
      <w:r>
        <w:rPr>
          <w:rFonts w:ascii="Arial" w:cs="Arial" w:eastAsia="Arial" w:hAnsi="Arial"/>
          <w:b/>
          <w:bCs/>
        </w:rPr>
        <w:t xml:space="preserve">[FED]</w:t>
      </w:r>
      <w:r>
        <w:rPr>
          <w:rFonts w:ascii="Arial" w:cs="Arial" w:eastAsia="Arial" w:hAnsi="Arial"/>
        </w:rPr>
        <w:t xml:space="preserve"> depende de estados e municípios. Custos são estimativas da campanha consolidadas no Volume 07.</w:t>
      </w:r>
    </w:p>
    <w:p>
      <w:pPr>
        <w:pStyle w:val="Heading1"/>
      </w:pPr>
      <w:r>
        <w:rPr>
          <w:rFonts w:ascii="Arial" w:cs="Arial" w:eastAsia="Arial" w:hAnsi="Arial"/>
        </w:rPr>
        <w:t xml:space="preserve">Eixo 11 — Agricultura e meio ambiente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Agropecuária de alta produtividade e motor das exportações (+2,8% no 2º trimestre de 2026); renúncias tributárias de cerca de R$ 101 bi para agricultura (PLDO 2026); desmatamento ilegal, grilagem e garimpo ilegal em terras indígenas; acordo Mercosul–UE com exigências de rastreabilidade; agricultura familiar com baixo acesso a assistência técnica.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Objetivo político.</w:t>
      </w:r>
      <w:r>
        <w:rPr>
          <w:rFonts w:ascii="Arial" w:cs="Arial" w:eastAsia="Arial" w:hAnsi="Arial"/>
        </w:rPr>
        <w:t xml:space="preserve"> Agro mais produtivo e rastreado, desmatamento ilegal zero e Amazônia como polo de bioeconomia.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11.1 Rastreabilidade bovina e de grãos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nacional, obrigatória até 2029, integrada ao CAR validado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2027–2029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R$ 400 mi (implantação)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11.2 Validação do CAR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em 100% dos imóveis da Amazônia Legal com uso de satélite e cancelamento de cadastros sobrepostos a terras públicas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2029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Dentro do orçamento ambiental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11.3 Força Nacional Ambiental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permanente (Ibama, ICMBio, PF, PRF) com prioridade a garimpo ilegal e grilagem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+R$ 1 bi/ano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11.4 Crédito rural condicionado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equalização de juros só para propriedades com CAR validado e sem embargo ambiental; reorientação gradual de renúncias para seguro rural e assistência técnica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(Plano Safra) + [LC]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Parte do corte de gastos tributários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11.5 Pagamento por serviços ambientais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e bioeconomia com recursos do Fundo Amazônia, do mecanismo internacional de florestas tropicais e do fundo de transição da Zona Franca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2028–2030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Recursos externos e fundo de transição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11.6 Terras indígenas e reforma agrária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concluir demarcações com processo administrativo completo e foco da reforma agrária na titulação dos assentamentos existentes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Contínuo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Fonte de financiamento.</w:t>
      </w:r>
      <w:r>
        <w:rPr>
          <w:rFonts w:ascii="Arial" w:cs="Arial" w:eastAsia="Arial" w:hAnsi="Arial"/>
        </w:rPr>
        <w:t xml:space="preserve"> Fundos ambientais, cooperação internacional, reorientação de renúncias.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Desmatamento ilegal na Amazônia em trajetória para zero em 2030 (Inpe/PRODES); 100% do CAR validado na Amazônia Legal.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Resistência da bancada ruralista ao condicionamento do crédito; violência no campo.</w:t>
      </w:r>
    </w:p>
    <w:p>
      <w:pPr>
        <w:pStyle w:val="Heading1"/>
      </w:pPr>
      <w:r>
        <w:rPr>
          <w:rFonts w:ascii="Arial" w:cs="Arial" w:eastAsia="Arial" w:hAnsi="Arial"/>
        </w:rPr>
        <w:t xml:space="preserve">Eixo 12 — Habitação, cidades e saneamento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Coleta de esgoto para 55,2% da população e tratamento de 51,8% do esgoto (2023); perdas de água perto de 40%; Norte com coleta mínima; déficit habitacional concentrado em famílias de baixa renda; ocupações irregulares em áreas de risco.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Objetivo político.</w:t>
      </w:r>
      <w:r>
        <w:rPr>
          <w:rFonts w:ascii="Arial" w:cs="Arial" w:eastAsia="Arial" w:hAnsi="Arial"/>
        </w:rPr>
        <w:t xml:space="preserve"> Acelerar o saneamento por concessões regionalizadas e enfrentar o déficit habitacional com regularização e aluguel social.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12.1 Concessões regionalizadas de saneamento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com apoio técnico do BNDES aos blocos regionais do Norte e Nordeste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Investimento privado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12.2 Subsídio de viabilidade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para blocos de baixa renda no Norte e Nordeste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2028–2030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+R$ 2 bi/ano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12.3 Regularização fundiária urbana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em massa (títulos em favelas consolidadas)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Baixo custo; alto efeito patrimonial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12.4 Minha Casa Minha Vida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mantido com foco na faixa de menor renda, prioridade a imóveis em áreas com infraestrutura e retrofit de prédios ociosos centrais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Contínuo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Orçamento vigente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12.5 Aluguel social federal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para famílias removidas de áreas de risco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2028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R$ 500 mi/ano (dentro do MCMV)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12.6 Resíduos sólidos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fim dos lixões com consórcios intermunicipais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[FED] + crédito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Crédito BNDES/FGTS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+12 milhões de pessoas com coleta de esgoto até 2030 (SINISA); número de títulos urbanos emitidos.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Municípios resistentes à regionalização; tarifas socialmente sensíveis.</w:t>
      </w:r>
    </w:p>
    <w:p>
      <w:pPr>
        <w:pStyle w:val="Heading1"/>
      </w:pPr>
      <w:r>
        <w:rPr>
          <w:rFonts w:ascii="Arial" w:cs="Arial" w:eastAsia="Arial" w:hAnsi="Arial"/>
        </w:rPr>
        <w:t xml:space="preserve">Eixo 13 — Previdência e assistência social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Pobreza em mínimas históricas graças a transferências; extrema pobreza maior entre crianças; BPC e piso previdenciário vinculados ao salário mínimo, ampliando a despesa obrigatória; regimes especiais e militares com regras mais favoráveis.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Objetivo político.</w:t>
      </w:r>
      <w:r>
        <w:rPr>
          <w:rFonts w:ascii="Arial" w:cs="Arial" w:eastAsia="Arial" w:hAnsi="Arial"/>
        </w:rPr>
        <w:t xml:space="preserve"> Proteger os mais pobres e a primeira infância e conter o crescimento automático da despesa previdenciária.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13.1 Bolsa Família Primeira Infância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elevar o adicional por criança de 0 a 6 anos e criar adicional para gestantes de alto risco social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(com dotação na LOA)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2028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+R$ 10 bi/ano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13.2 Desvinculação do BPC do salário mínimo para novos benefícios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reajuste pela inflação (INPC) com revisão real quadrienal; benefícios já concedidos preservados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[PEC]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Envio no 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Economia de ≈R$ 6 bi/ano em 2030, crescente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13.3 Revisão de regimes especiais e transição de idades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para aposentadorias que ainda não convergiram após 2019, com proteção a trabalhadores rurais de baixa renda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[PEC] + 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Economia crescente a partir de 2029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13.4 Cadastro Único auditado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cruzamento contínuo de bases (Receita, RAIS, óbitos, veículos) para combater fraudes e pagamentos indevidos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Economia de ≈R$ 15 bi/ano (estimativa da campanha)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13.5 Avaliação independente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de todos os benefícios acima de R$ 5 bi/ano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Contínuo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Integrado ao Conselho de Avaliação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Salvaguarda.</w:t>
      </w:r>
      <w:r>
        <w:rPr>
          <w:rFonts w:ascii="Arial" w:cs="Arial" w:eastAsia="Arial" w:hAnsi="Arial"/>
        </w:rPr>
        <w:t xml:space="preserve"> Ver Volume 01: se a desvinculação do BPC elevar a extrema pobreza entre beneficiários, a regra será revista.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Extrema pobreza infantil em queda (SIS/IBGE); crescimento real da despesa previdenciária abaixo do crescimento do PIB.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Rejeição política forte à desvinculação do BPC; judicialização.</w:t>
      </w:r>
    </w:p>
    <w:p>
      <w:pPr>
        <w:pStyle w:val="Heading1"/>
      </w:pPr>
      <w:r>
        <w:rPr>
          <w:rFonts w:ascii="Arial" w:cs="Arial" w:eastAsia="Arial" w:hAnsi="Arial"/>
        </w:rPr>
        <w:t xml:space="preserve">Eixo 14 — Ciência, tecnologia e inteligência artificial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Ciência de qualidade concentrada em poucas universidades; fundos de C&amp;T historicamente contingenciados; energia limpa abundante mas sem estratégia nacional de data centers e IA; Estado vulnerável a ataques cibernéticos; indústria de semicondutores incipiente.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Objetivo político.</w:t>
      </w:r>
      <w:r>
        <w:rPr>
          <w:rFonts w:ascii="Arial" w:cs="Arial" w:eastAsia="Arial" w:hAnsi="Arial"/>
        </w:rPr>
        <w:t xml:space="preserve"> Fazer da energia limpa e dos dados brasileiros uma vantagem em IA, com regulação proporcional ao risco e Estado digital seguro.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14.1 FNDCT sem contingenciamento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e com chamadas plurianuais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(já previsto em lei)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Contínuo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+R$ 2 bi/ano de execução efetiva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14.2 Zonas de Data Centers Verdes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junto a fontes renováveis no Nordeste, com conexão à rede e regras de uso de água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[LEI] pontual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2027–2029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Investimento privado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14.3 Supercomputação pública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compartilhada por universidades, Embrapa, Fiocruz e Inpe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2028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R$ 600 mi (investimento)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14.4 Regulação de IA por risco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obrigações proporcionais (transparência, avaliação de impacto, supervisão humana) para usos de alto risco; sandbox regulatório; proteção de direitos autorais com regras claras de remuneração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1º–2º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14.5 Segurança cibernética do Estado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com centro nacional de resposta 24h (ver Eixo 8)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 + 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Integrado ao Eixo 8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14.6 Semicondutores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foco em encapsulamento e projeto de chips em vez de fábricas de ponta inviáveis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Contínuo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Incentivos existentes reavaliados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Investimento privado em data centers contratado; patentes e publicações em IA; incidentes cibernéticos graves em órgãos federais.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Pressão sobre água e energia; captura regulatória por grandes empresas.</w:t>
      </w:r>
    </w:p>
    <w:p>
      <w:pPr>
        <w:pStyle w:val="Heading1"/>
      </w:pPr>
      <w:r>
        <w:rPr>
          <w:rFonts w:ascii="Arial" w:cs="Arial" w:eastAsia="Arial" w:hAnsi="Arial"/>
        </w:rPr>
        <w:t xml:space="preserve">Eixo 15 — Administração pública e reforma do Estado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Ministérios demais; carreiras com estabilidade ampla mesmo onde não é necessária; avaliação de desempenho inexistente na prática; supersalários; estatais deficitárias que demandam aportes (os Correios receberão capitalização de R$ 6 bi no PLOA 2027).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Objetivo político.</w:t>
      </w:r>
      <w:r>
        <w:rPr>
          <w:rFonts w:ascii="Arial" w:cs="Arial" w:eastAsia="Arial" w:hAnsi="Arial"/>
        </w:rPr>
        <w:t xml:space="preserve"> Um Estado menor no número de órgãos, maior em capacidade, com servidores valorizados por resultado.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15.1 Reduzir a Esplanada para 25 ministérios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Medida provisória convertida em 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dia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Economia de custeio de ≈R$ 5 bi/ano em 2030 (estimativa da campanha)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15.2 Reforma administrativa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estabilidade mantida para carreiras típicas de Estado; para novos ingressantes das demais carreiras, vínculo com avaliação de desempenho e possibilidade de desligamento motivado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[PEC]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Envio no 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Efeito de longo prazo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15.3 Concursos unificados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e por competências, com estágio probatório real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15.4 Governo digital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todos os serviços federais com atendimento digital e prazo máximo de resposta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2028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Economia administrativa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15.5 Desestatização dos Correios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com contrato de universalização do serviço postal (ver salvaguarda no Volume 01) e venda de participações minoritárias não estratégicas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Modelagem no 1º ano; venda até 2029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Receita estimada a definir pela modelagem do BNDES; fim de aportes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15.6 Lei de Governança das Estatais reforçada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diretoria por seleção pública, metas e vedação de indicação política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Estatais mantidas sob controle público</w:t>
      </w:r>
      <w:r>
        <w:rPr>
          <w:rFonts w:ascii="Arial" w:cs="Arial" w:eastAsia="Arial" w:hAnsi="Arial"/>
        </w:rPr>
        <w:t xml:space="preserve">: Petrobras, Banco do Brasil, Caixa, BNDES, Embrapa, Fiocruz e empresas de defesa.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Despesa de pessoal como % da receita corrente líquida; satisfação com serviços digitais; fim dos aportes do Tesouro aos Correios.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Oposição forte de sindicatos de servidores e de parlamentares.</w:t>
      </w:r>
    </w:p>
    <w:p>
      <w:pPr>
        <w:pStyle w:val="Heading1"/>
      </w:pPr>
      <w:r>
        <w:rPr>
          <w:rFonts w:ascii="Arial" w:cs="Arial" w:eastAsia="Arial" w:hAnsi="Arial"/>
        </w:rPr>
        <w:t xml:space="preserve">Eixo 16 — Cultura, turismo e esporte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Patrimônio cultural e natural de classe mundial, turismo internacional abaixo do potencial, insegurança e logística aérea cara; incentivos culturais concentrados no Sudeste.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16.1 Regionalização dos incentivos culturais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piso de 40% da captação para projetos fora do eixo Rio–São Paulo e transparência total de projetos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(regulamentação)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16.2 Patrimônio vivo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programa de restauro de centros históricos via PPP com uso habitacional e turístico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2028–2030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Crédito e PPP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16.3 Turismo internacional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vistos eletrônicos, promoção em mercados prioritários e concessão de parques nacionais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Receita de concessões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16.4 Esporte educacional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integrado ao ensino integral técnico (Eixo 5)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Dentro do Eixo 5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16.5 Audiovisual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manter cotas de tela e regular streaming com investimento em produção nacional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1º–2º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Chegada de turistas internacionais; distribuição regional dos incentivos culturais.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Resistência de produtores já beneficiados; insegurança afastando turistas.</w:t>
      </w:r>
    </w:p>
    <w:p>
      <w:pPr>
        <w:pStyle w:val="Heading1"/>
      </w:pPr>
      <w:r>
        <w:rPr>
          <w:rFonts w:ascii="Arial" w:cs="Arial" w:eastAsia="Arial" w:hAnsi="Arial"/>
        </w:rPr>
        <w:t xml:space="preserve">Eixo 17 — Direitos civis e questões sociais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Feminicídios em alta (1.571 em 2025); violência letal concentrada em jovens negros; desinformação e danos digitais; proteção de dados com fiscalização limitada; acessibilidade insuficiente para pessoas com deficiência.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Objetivo político.</w:t>
      </w:r>
      <w:r>
        <w:rPr>
          <w:rFonts w:ascii="Arial" w:cs="Arial" w:eastAsia="Arial" w:hAnsi="Arial"/>
        </w:rPr>
        <w:t xml:space="preserve"> Igualdade efetiva perante a lei, liberdade de expressão com responsabilidade das plataformas e proteção prioritária de mulheres e crianças.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17.1 Lei de Responsabilidade das Plataformas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dever de cuidado sobre riscos sistêmicos (abuso infantil, terrorismo, fraude), transparência de algoritmos e anúncios, devido processo para remoção de contas e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vedação de censura prévia por órgão do governo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; fiscalização por autoridade independente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17.2 ANPD com autonomia e orçamento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para proteção de dados e supervisão de plataformas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+R$ 150 mi/ano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17.3 Proteção infantil online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verificação de idade proporcional ao risco e combate prioritário à exploração sexual infantil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 + 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Integrado à 17.1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17.4 Plano contra o feminicídio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(ver 6.7) e cumprimento integral da Lei Maria da Penha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Contínuo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Ver Eixo 6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17.5 Pessoas com deficiência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acessibilidade obrigatória em todos os serviços digitais federais e avaliação biopsicossocial única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2028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Baixo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17.6 Liberdade religiosa e laicidade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proteção contra intolerância religiosa e vedação de financiamento público a atividades de culto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Contínuo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Aborto.</w:t>
      </w:r>
      <w:r>
        <w:rPr>
          <w:rFonts w:ascii="Arial" w:cs="Arial" w:eastAsia="Arial" w:hAnsi="Arial"/>
        </w:rPr>
        <w:t xml:space="preserve"> Posição da candidata: manter a legislação vigente (art. 128 do Código Penal e decisão do STF sobre anencefalia) e garantir o acesso efetivo aos serviços nos casos legais; não propor ampliação nem restrição. Detalhamento no Volume 06.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Feminicídios em queda; tempo de resposta a denúncias de abuso infantil online.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Acusações de censura ou de omissão, de lados opostos.</w:t>
      </w:r>
    </w:p>
    <w:p>
      <w:pPr>
        <w:pStyle w:val="Heading1"/>
      </w:pPr>
      <w:r>
        <w:rPr>
          <w:rFonts w:ascii="Arial" w:cs="Arial" w:eastAsia="Arial" w:hAnsi="Arial"/>
        </w:rPr>
        <w:t xml:space="preserve">Eixo 18 — Desenvolvimento regional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Desemprego de 9,1% na Bahia e 9,8% no Amapá contra 4,1% em Santa Catarina; informalidade de 56,9% no Maranhão; dez cidades mais violentas no Nordeste; saneamento mínimo no Norte; fundos constitucionais mal avaliados.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Objetivo político.</w:t>
      </w:r>
      <w:r>
        <w:rPr>
          <w:rFonts w:ascii="Arial" w:cs="Arial" w:eastAsia="Arial" w:hAnsi="Arial"/>
        </w:rPr>
        <w:t xml:space="preserve"> Reduzir desigualdades regionais com investimento em capital humano e infraestrutura, não em renúncias sem contrapartida.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18.1 Reforma dos fundos constitucionais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(FNE, FNO, FCO) com metas de emprego, avaliação independente e prioridade a infraestrutura e inovação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18.2 Fórmula regional nos programas federais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Ensino Médio Técnico, Fila Zero e saneamento com peso maior para Norte e Nordeste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Dentro dos eixos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18.3 Polos de energia limpa e hidrogênio no Nordeste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integrados a portos (Pecém, Suape)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Investimento privado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18.4 Fundo de Bioeconomia da Amazônia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como sucessor gradual dos incentivos da Zona Franca, com transição longa e garantia de empregos industriais existentes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[PEC] + 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Envio no 1º ano; transição de 15 anos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Recursos da transição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18.5 Consórcios interestaduais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(como Nordeste e Amazônia Legal) com contratos de gestão federais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Contínuo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Convergência do PIB per capita do Norte e Nordeste com a média nacional; redução da diferença de desemprego entre UFs.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Bancada do Amazonas e opinião pública local contrária à transição da Zona Franca.</w:t>
      </w:r>
    </w:p>
    <w:p>
      <w:pPr>
        <w:pStyle w:val="Heading1"/>
      </w:pPr>
      <w:r>
        <w:rPr>
          <w:rFonts w:ascii="Arial" w:cs="Arial" w:eastAsia="Arial" w:hAnsi="Arial"/>
        </w:rPr>
        <w:t xml:space="preserve">Eixo 19 — Comércio exterior e indústria estratégica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Superávit de US$ 68,3 bi em 2025; dependência crescente da China (28,7% das exportações); sobretaxas americanas de 25% e 12,5% sobre parte das exportações desde julho de 2026; acordo Mercosul–UE em vigor provisório desde maio de 2026; tarifas de importação altas que encarecem máquinas e insumos.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Objetivo político.</w:t>
      </w:r>
      <w:r>
        <w:rPr>
          <w:rFonts w:ascii="Arial" w:cs="Arial" w:eastAsia="Arial" w:hAnsi="Arial"/>
        </w:rPr>
        <w:t xml:space="preserve"> Diversificar mercados, abrir a economia de forma gradual e previsível e proteger apenas setores estratégicos com critério.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19.1 Redução gradual da Tarifa Externa Comum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à metade da média atual em quatro anos, começando por bens de capital, insumos e tecnologia; negociação no Mercosul e uso das listas de exceção nacionais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(Camex) + negociação Mercosul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Perda de receita aduaneira de ≈R$ 15 bi/ano em 2030 (estimativa da campanha)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19.2 Novos acordos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concluir e ratificar Mercosul–EFTA; negociar com Canadá, Emirados Árabes Unidos e Japão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aprovação do Congresso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19.3 Resposta às tarifas americanas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contencioso na OMC, negociação técnica bilateral e aplicação da Lei de Reciprocidade apenas como último recurso proporcional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Imediato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19.4 Triagem de investimentos estrangeiros em setores críticos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(portos, energia, telecomunicações, dados, minerais críticos) aplicável a qualquer país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19.5 Indústria estratégica com critério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conteúdo local apenas em defesa, saúde (insumos críticos) e energia, com metas de custo e prazo de extinção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Contínuo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Corrente de comércio como % do PIB; número de acordos em vigor; participação de manufaturados nas exportações.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Oposição da indústria protegida; resistência da Argentina ou de outros sócios a cortes na TEC.</w:t>
      </w:r>
    </w:p>
    <w:p>
      <w:pPr>
        <w:pStyle w:val="Heading1"/>
      </w:pPr>
      <w:r>
        <w:rPr>
          <w:rFonts w:ascii="Arial" w:cs="Arial" w:eastAsia="Arial" w:hAnsi="Arial"/>
        </w:rPr>
        <w:t xml:space="preserve">Eixo 20 — Reforma política e governabilidade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Fragmentação partidária; emendas parlamentares crescentes e pouco rastreáveis (R$ 44,8 bi no PLOA 2027); presidencialismo de coalizão baseado na troca de cargos e verbas.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Objetivo político.</w:t>
      </w:r>
      <w:r>
        <w:rPr>
          <w:rFonts w:ascii="Arial" w:cs="Arial" w:eastAsia="Arial" w:hAnsi="Arial"/>
        </w:rPr>
        <w:t xml:space="preserve"> Reduzir o custo de governar, aumentar a transparência e aproximar eleitor e representante.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20.1 Voto distrital misto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para a Câmara dos Deputados, a partir de 2030 se aprovado até outubro de 2029 (princípio da anualidade)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[PEC]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Envio no 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20.2 Teto e transparência de emendas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(ver 2.4)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[PEC]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60 dias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Economia de até R$ 15 bi/ano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20.3 Pacto de Governo público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acordo escrito com os partidos da base, publicado na internet, com agenda legislativa e critérios técnicos para cargos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político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mês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20.4 Participação digital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consulta pública obrigatória e plataforma de petições com resposta do governo a propostas com mais de 1 milhão de assinaturas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Baixo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20.5 Fortalecer a cláusula de desempenho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e a fidelidade partidária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[PEC]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Aprovação das PECs de emendas e do sistema eleitoral; número efetivo de partidos na Câmara.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Este é o eixo de menor probabilidade de êxito, porque depende de parlamentares mudarem as regras que os elegeram. A candidata o assume mesmo assim — ver Volume 08.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200" w:left="1134" w:header="600" w:footer="6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73"/>
        <w:sz w:val="16"/>
        <w:szCs w:val="16"/>
      </w:rPr>
      <w:t xml:space="preserve">Simulação fictícia • Eleições Presidenciais das IAs • Brasil 2026   |   Página </w:t>
    </w:r>
    <w:r>
      <w:rPr>
        <w:rFonts w:ascii="Arial" w:cs="Arial" w:eastAsia="Arial" w:hAnsi="Arial"/>
        <w:color w:val="5A6B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B73"/>
        <w:sz w:val="16"/>
        <w:szCs w:val="16"/>
      </w:rPr>
      <w:t xml:space="preserve"> de </w:t>
    </w:r>
    <w:r>
      <w:rPr>
        <w:rFonts w:ascii="Arial" w:cs="Arial" w:eastAsia="Arial" w:hAnsi="Arial"/>
        <w:color w:val="5A6B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CB" w:sz="4" w:space="4"/>
      </w:pBdr>
    </w:pPr>
    <w:r>
      <w:rPr>
        <w:rFonts w:ascii="Arial" w:cs="Arial" w:eastAsia="Arial" w:hAnsi="Arial"/>
        <w:b/>
        <w:bCs/>
        <w:color w:val="0F4C5C"/>
        <w:sz w:val="16"/>
        <w:szCs w:val="16"/>
      </w:rPr>
      <w:t xml:space="preserve">ALICERCE · Inês Aragão — Plano 2027–2030</w:t>
    </w:r>
    <w:r>
      <w:rPr>
        <w:rFonts w:ascii="Arial" w:cs="Arial" w:eastAsia="Arial" w:hAnsi="Arial"/>
        <w:color w:val="5A6B73"/>
        <w:sz w:val="16"/>
        <w:szCs w:val="16"/>
      </w:rPr>
      <w:t xml:space="preserve">   |   Volume 04: Plano de governo — eixos 11 a 20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0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9A2B" w:sz="8" w:space="4"/>
      </w:pBdr>
      <w:spacing w:after="200" w:before="240"/>
      <w:outlineLvl w:val="0"/>
    </w:pPr>
    <w:rPr>
      <w:rFonts w:ascii="Arial" w:cs="Arial" w:eastAsia="Arial" w:hAnsi="Arial"/>
      <w:b/>
      <w:bCs/>
      <w:color w:val="0F4C5C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0F4C5C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5482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d82b4b03bd21f639871f9c1ed8c6a97cb5be667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GOVERNO 2027–2030 — INÊS ARAGÃO (Parte II)</dc:title>
  <dc:creator>Campanha fictícia ALICERCE</dc:creator>
  <dc:description>Simulação fictícia — Eleições Presidenciais das IAs — Brasil 2026</dc:description>
  <cp:lastModifiedBy>Un-named</cp:lastModifiedBy>
  <cp:revision>1</cp:revision>
  <dcterms:created xsi:type="dcterms:W3CDTF">2026-10-20T05:37:44.027Z</dcterms:created>
  <dcterms:modified xsi:type="dcterms:W3CDTF">2026-10-20T05:37:44.027Z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