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05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Política Externa e Geopolítica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Doutrina, relações bilaterais, organizações internacionais e posição sobre os conflitos em curso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1. Doutrina: autonomia pela regra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2. Relações bilaterais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3. Organizações internacionais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4. Conflitos internacionais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4.1 Rússia e Ucrânia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4.2 Israel e Palestina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4.3 Hamas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4.4 Hezbollah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4.5 Irã, Israel e Estados Unidos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4.6 China e Taiwan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4.7 Venezuela</w:t>
      </w:r>
    </w:p>
    <w:p>
      <w:pPr>
        <w:spacing w:after="20"/>
        <w:ind w:left="400"/>
      </w:pPr>
      <w:r>
        <w:rPr>
          <w:rFonts w:ascii="Arial" w:cs="Arial" w:eastAsia="Arial" w:hAnsi="Arial"/>
          <w:color w:val="1E2A30"/>
          <w:sz w:val="19"/>
          <w:szCs w:val="19"/>
        </w:rPr>
        <w:t xml:space="preserve">4.8 Outros conflitos e crises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5. Como conciliar princípios, pragmatismo e interesse nacional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Doutrina: autonomia pela regra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A política externa do governo Inês Aragão parte de um princípio simples: </w:t>
      </w:r>
      <w:r>
        <w:rPr>
          <w:rFonts w:ascii="Arial" w:cs="Arial" w:eastAsia="Arial" w:hAnsi="Arial"/>
          <w:b/>
          <w:bCs/>
        </w:rPr>
        <w:t xml:space="preserve">o Brasil aplica as mesmas regras a amigos e adversários.</w:t>
      </w:r>
      <w:r>
        <w:rPr>
          <w:rFonts w:ascii="Arial" w:cs="Arial" w:eastAsia="Arial" w:hAnsi="Arial"/>
        </w:rPr>
        <w:t xml:space="preserve"> A Carta da ONU, a integridade territorial, a proibição do uso da força fora da legítima defesa ou de autorização do Conselho de Segurança e o direito internacional humanitário valem para todos. Essa coerência é o maior ativo de um país sem poder militar decisivo.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Quatro diretrizes operacionais: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1.	</w:t>
      </w:r>
      <w:r>
        <w:rPr>
          <w:rFonts w:ascii="Arial" w:cs="Arial" w:eastAsia="Arial" w:hAnsi="Arial"/>
          <w:b/>
          <w:bCs/>
        </w:rPr>
        <w:t xml:space="preserve">Coerência normativa.</w:t>
      </w:r>
      <w:r>
        <w:rPr>
          <w:rFonts w:ascii="Arial" w:cs="Arial" w:eastAsia="Arial" w:hAnsi="Arial"/>
        </w:rPr>
        <w:t xml:space="preserve"> Condenar agressões e violações graves contra civis independentemente de quem as pratique.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2.	</w:t>
      </w:r>
      <w:r>
        <w:rPr>
          <w:rFonts w:ascii="Arial" w:cs="Arial" w:eastAsia="Arial" w:hAnsi="Arial"/>
          <w:b/>
          <w:bCs/>
        </w:rPr>
        <w:t xml:space="preserve">Diversificação.</w:t>
      </w:r>
      <w:r>
        <w:rPr>
          <w:rFonts w:ascii="Arial" w:cs="Arial" w:eastAsia="Arial" w:hAnsi="Arial"/>
        </w:rPr>
        <w:t xml:space="preserve"> Nenhum parceiro concentrará dependência crítica (comercial, tecnológica, energética ou financeira).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3.	</w:t>
      </w:r>
      <w:r>
        <w:rPr>
          <w:rFonts w:ascii="Arial" w:cs="Arial" w:eastAsia="Arial" w:hAnsi="Arial"/>
          <w:b/>
          <w:bCs/>
        </w:rPr>
        <w:t xml:space="preserve">Comércio como motor.</w:t>
      </w:r>
      <w:r>
        <w:rPr>
          <w:rFonts w:ascii="Arial" w:cs="Arial" w:eastAsia="Arial" w:hAnsi="Arial"/>
        </w:rPr>
        <w:t xml:space="preserve"> A diplomacia econômica é prioridade: acordos comerciais, abertura de mercados e defesa contra medidas unilaterais.</w:t>
      </w:r>
    </w:p>
    <w:p>
      <w:pPr>
        <w:tabs>
          <w:tab w:val="left" w:pos="400"/>
        </w:tabs>
        <w:spacing w:after="80"/>
        <w:ind w:left="400" w:hanging="400"/>
      </w:pPr>
      <w:r>
        <w:rPr>
          <w:rFonts w:ascii="Arial" w:cs="Arial" w:eastAsia="Arial" w:hAnsi="Arial"/>
          <w:b/>
          <w:bCs/>
          <w:color w:val="0F4C5C"/>
        </w:rPr>
        <w:t xml:space="preserve">4.	</w:t>
      </w:r>
      <w:r>
        <w:rPr>
          <w:rFonts w:ascii="Arial" w:cs="Arial" w:eastAsia="Arial" w:hAnsi="Arial"/>
          <w:b/>
          <w:bCs/>
        </w:rPr>
        <w:t xml:space="preserve">Liderança regional sem tutela.</w:t>
      </w:r>
      <w:r>
        <w:rPr>
          <w:rFonts w:ascii="Arial" w:cs="Arial" w:eastAsia="Arial" w:hAnsi="Arial"/>
        </w:rPr>
        <w:t xml:space="preserve"> América do Sul estável, democrática e integrada fisicamente; o Brasil não exporta modelos, mas defende cláusulas democráticas.</w:t>
      </w:r>
    </w:p>
    <w:p>
      <w:pPr>
        <w:spacing w:after="140" w:line="288"/>
        <w:jc w:val="both"/>
      </w:pPr>
      <w:r>
        <w:rPr>
          <w:rFonts w:ascii="Arial" w:cs="Arial" w:eastAsia="Arial" w:hAnsi="Arial"/>
          <w:b/>
          <w:bCs/>
        </w:rPr>
        <w:t xml:space="preserve">Fatos de contexto (data-base 20/10/2026):</w:t>
      </w:r>
      <w:r>
        <w:rPr>
          <w:rFonts w:ascii="Arial" w:cs="Arial" w:eastAsia="Arial" w:hAnsi="Arial"/>
        </w:rPr>
        <w:t xml:space="preserve"> guerra EUA/Israel–Irã desde 28 de fevereiro de 2026 com cessar-fogos intermitentes e o Estreito de Ormuz sob restrição; conflito Israel–Hezbollah retomado em março de 2026; cessar-fogo em Gaza desde 10 de outubro de 2025, com violações frequentes e plano de reconstrução reduzido; guerra na Ucrânia sem acordo; Venezuela sob governo interino desde a captura de Nicolás Maduro pelos EUA em janeiro de 2026; sobretaxas americanas sobre o Brasil desde julho de 2026; acordo Mercosul–UE em vigor provisório desde maio de 2026. Fontes no Volume 12.</w:t>
      </w:r>
    </w:p>
    <w:p>
      <w:pPr>
        <w:pStyle w:val="Heading1"/>
      </w:pPr>
      <w:r>
        <w:rPr>
          <w:rFonts w:ascii="Arial" w:cs="Arial" w:eastAsia="Arial" w:hAnsi="Arial"/>
        </w:rPr>
        <w:t xml:space="preserve">2. Relações bilaterais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Parceiro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 concreta do governo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Estados Unidos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Relação estratégica sem alinhamento automático. Prioridade 1: negociar a retirada das sobretaxas da Seção 301 com proposta técnica (propriedade intelectual, etanol, acesso a mercado), em paralelo a contencioso na OMC. Cooperação ampla contra narcotráfico, lavagem e tráfico de armas. Disposição para acordo de minerais críticos desde que preveja processamento no Brasil. Discordância pública e firme quando houver uso unilateral da força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China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Principal parceiro comercial (28,7% das exportações). Manter e diversificar a pauta (alimentos processados, celulose, aviões). Atrair investimento industrial com transferência tecnológica. Não aderir formalmente à Iniciativa Cinturão e Rota; aplicar a nova lei de triagem de investimentos em setores críticos (válida para qualquer país). Diálogo franco sobre direitos humanos em foros multilaterais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Rússia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Relações diplomáticas e comerciais mantidas (fertilizantes, energia). Condenação clara da invasão da Ucrânia. O Brasil não adota sanções unilaterais (aplica apenas as do Conselho de Segurança), mas não permitirá que o país seja usado para contornar sanções de terceiros por meio de seu sistema financeiro. Reduzir a dependência de fertilizantes importados com produção nacional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União Europeia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Implementação plena do acordo Mercosul–UE; trabalho técnico para que a regulação antidesmatamento europeia reconheça o sistema brasileiro de rastreabilidade (Eixo 11). Cooperação em transição energética, ciência e defesa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Índia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Parceria em farmacêuticos, tecnologia digital, defesa e etanol. Ampliar o acordo Mercosul–Índia para cobertura tarifária maior. Coordenação no G20 e BRICS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Argentina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Parceiro indispensável no Mercosul, independentemente do governo de turno. Integração energética (gás de Vaca Muerta), infraestrutura de fronteira e negociação conjunta da redução da TEC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Venezuela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Ver seção 4.7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Cuba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 a favor das resoluções da Assembleia Geral contra o embargo americano, por ser medida unilateral extraterritorial. Ao mesmo tempo, defesa pública da libertação de presos políticos e de eleições livres. Cooperação humanitária e acadêmica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Irã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Relações diplomáticas mantidas. Exigência de cumprimento integral do Tratado de Não Proliferação e de acesso dos inspetores da AIEA. Ver seção 4.5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África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Abertura de linhas de crédito à exportação para infraestrutura e agricultura tropical (Embrapa), cooperação em saúde pública e segurança marítima no Atlântico Sul (ZOPACAS). Prioridade a países lusófonos, Nigéria, África do Sul, Egito e Marrocos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Oriente Médio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 em segurança energética, mercados para alimentos e proteção da grande diáspora libanesa e árabe no Brasil. Posições baseadas no direito internacional (seção 4)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Indo-Pacífico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Japão, Coreia do Sul, Indonésia, Vietnã e Austrália como parceiros de comércio e tecnologia. Defesa da liberdade de navegação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Organizações internacionais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7904"/>
      </w:tblGrid>
      <w:tr>
        <w:trPr>
          <w:cantSplit/>
          <w:tblHeader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Organização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ONU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Reforma do Conselho de Segurança com ampliação de membros permanentes e não permanentes; manutenção da candidatura do G4 (Brasil, Alemanha, Índia, Japão). Defesa de limites ao veto em casos de atrocidades em massa. O Brasil prefere arranjos de paz com mandato do Conselho a mecanismos paralelos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BRICS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Permanência como foro de coordenação econômica e de reforma da governança financeira; apoio ao Novo Banco de Desenvolvimento. Contra novas ampliações sem critérios claros e contra transformar o bloco em aliança antiocidental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Mercosul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Modernização: redução da TEC, flexibilidade para acordos bilaterais com velocidades diferentes, cláusula democrática aplicada com rigor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OMC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Defesa do sistema multilateral de comércio e da recomposição do Órgão de Apelação; uso ativo do contencioso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FMI e Banco Mundial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Reforma de cotas para refletir o peso das economias emergentes; uso do Banco Mundial e do BID em saneamento e clima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OTAN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Brasil não busca adesão nem parceria formal. Diálogo técnico pontual. O Atlântico Sul deve permanecer zona de paz e cooperação (ZOPACAS)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G20</w:t>
            </w:r>
          </w:p>
        </w:tc>
        <w:tc>
          <w:tcPr>
            <w:tcW w:type="dxa" w:w="7904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Prioridades: tributação internacional mínima de grandes fortunas e multinacionais, financiamento climático e reestruturação de dívidas de países pobres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Conflitos internacionais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Para cada conflito são respondidas as seis perguntas da simulação. A distinção entre população civil, governo, partido político e organização armada é mantida em todas as respostas.</w:t>
      </w:r>
    </w:p>
    <w:p>
      <w:pPr>
        <w:pStyle w:val="Heading2"/>
      </w:pPr>
      <w:r>
        <w:rPr>
          <w:rFonts w:ascii="Arial" w:cs="Arial" w:eastAsia="Arial" w:hAnsi="Arial"/>
        </w:rPr>
        <w:t xml:space="preserve">4.1 Rússia e Ucrânia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Interpretação dos fatos e do direito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invasão russa de 2022 e a anexação de territórios ucranianos violam a Carta da ONU (art. 2º, §4º) e a integridade territorial da Ucrânia. Ataques deliberados contra infraestrutura civil, por qualquer lado, violam o direito humanitário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oficial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Brasil reconhece as fronteiras internacionais da Ucrânia e não reconhecerá anexações. Defende cessar-fogo negociado com participação ucraniana plena, garantias de segurança verificáveis e troca de prisioneiros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 a agressão russa como ato do Estado russo. Condena ataques contra civis por qualquer das partes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Sanções, mediação, ajuda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Sem sanções unilaterais (política brasileira de aplicar apenas sanções do Conselho de Segurança); combate a qualquer uso do sistema financeiro brasileiro para evadir sanções. Ajuda humanitária, apoio à desminagem e à reconstrução civil. Mediação apenas se aceita por ambas as partes. Sem fornecimento de armamentos ou munições a nenhum dos lados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Votos na ONU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favor de resoluções da Assembleia Geral que reafirmem a integridade territorial e condenem anexações; a favor de textos humanitários; abstenção em textos que incluam sanções ou medidas punitivas não autorizadas pelo Conselho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Interesses nacionais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Coerência com a defesa da integridade territorial (interesse vital de um país com 16,9 mil km de fronteiras); preservação de comércio de fertilizantes; credibilidade como interlocutor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Israel e Palestina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Israel tem direito de existir com segurança e de se defender dentro do direito internacional. O povo palestino tem direito à autodeterminação e a um Estado. Os ataques de 7 de outubro de 2023 foram atos terroristas contra civis. A condução da guerra em Gaza produziu destruição e mortes civis em escala que caracterizam violações graves do direito humanitário, incluindo restrições à ajuda. Os assentamentos na Cisjordânia são ilegais à luz do direito internacional (Resolução 2334 do Conselho de Segurança)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oficial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Solução de dois Estados com base nas fronteiras de 1967 e trocas acordadas, Jerusalém como capital compartilhada a ser negociada, Estado palestino desmilitarizado e reconhecido por Israel, e Israel com garantias de segurança. O Brasil mantém o reconhecimento do Estado da Palestina e relações diplomáticas com Israel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 o terrorismo do Hamas e de outros grupos armados. Condena violações do direito humanitário por forças israelenses, como ataques a civis, bloqueio de ajuda e destruição de infraestrutura civil. Condena a violência de colonos e a expansão de assentamentos. Não confunde o povo israelense com decisões de seu governo, nem o povo palestino com o Hamas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Sanções, mediação, ajuda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Apoio ao cessar-fogo e à força internacional de estabilização desde que com mandato do Conselho de Segurança; oferta de policiais e engenheiros para treinamento e reconstrução, não de tropas de combate. Ajuda humanitária via ONU. Suspensão de exportação de material bélico brasileiro a qualquer parte quando houver risco claro de uso contra civis. Apoio à atuação da Corte Internacional de Justiça e respeito às decisões do Tribunal Penal Internacional, do qual o Brasil é parte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Votos na ONU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favor de resoluções que exijam cessar-fogo, acesso humanitário e libertação de reféns; a favor de resoluções contra assentamentos; a favor da admissão plena da Palestina na ONU; contra textos que neguem o direito de existência de Israel ou omitam a condenação do terrorismo quando o tema for tratado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Interesses nacionais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Coerência com o direito humanitário; relações com o mundo árabe e com Israel (tecnologia agrícola, defesa, saúde); proteção de comunidades judaica e árabe no Brasil contra discriminação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4.3 Hamas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Hamas é uma organização política e armada que praticou terrorismo contra civis, tomou reféns e governou Gaza de forma autoritária. Seu braço armado é incompatível com a paz e com um Estado palestino democrático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oficial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governo enviará ao Congresso projeto de lei que crie mecanismo nacional de designação de organizações terroristas, com critérios objetivos, controle judicial e direito de defesa. Pelos critérios propostos, o braço armado do Hamas se enquadraria. Hoje o Brasil aplica apenas as listas do Conselho de Segurança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 ataques a civis, tomada de reféns e uso de civis como escudo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Sanções, mediação, ajuda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Contatos apenas por mediadores (Catar, Egito) e para fins humanitários. Apoio ao desarmamento verificado previsto no plano de cessar-fogo e à transferência da administração de Gaza a autoridade palestina reformada e tecnocrática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Votos na ONU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favor de resoluções que condenem o terrorismo e exijam o desarmamento de grupos armados não estatais em Gaza como parte de acordo de paz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Interesses nacionais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Combate ao financiamento do terrorismo; segurança de brasileiros na região; credibilidade como defensor da paz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Hezbollah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Hezbollah é partido político libanês e milícia armada apoiada pelo Irã. Sua estrutura armada paralela enfraquece o Estado libanês e viola a Resolução 1701. Ataques contra civis israelenses e ataques israelenses contra civis libaneses violam o direito humanitário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oficial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Apoio à soberania do Líbano, ao monopólio da força pelas Forças Armadas Libanesas e ao cumprimento da Resolução 1701 por todas as partes. Pela futura lei de designação, a ala armada do Hezbollah seria avaliada como organização terrorista; o partido político não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 ataques contra civis de ambos os lados e o uso de áreas civis para fins militares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Sanções, mediação, ajuda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Plano permanente de evacuação de brasileiros e dupla-nacionais; ajuda humanitária ao Líbano; combate à lavagem de dinheiro na Tríplice Fronteira com Argentina e Paraguai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Votos na ONU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favor de resoluções que fortaleçam a missão da ONU no Líbano e o desarmamento de milícias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Interesses nacionais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Proteção da maior diáspora libanesa do mundo; segurança na Tríplice Fronteira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4.5 Irã, Israel e Estados Unidos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Irã tem obrigações sob o TNP e acumulou urânio enriquecido a cerca de 60% (408,6 kg segundo a AIEA em fevereiro de 2026), sem justificativa civil plausível, enquanto restringiu inspeções. Os ataques militares de EUA e Israel contra o Irã iniciados em fevereiro de 2026, sem autorização do Conselho de Segurança e sem ataque armado iminente demonstrado, não se enquadram nas exceções da Carta. Ataques iranianos contra navios civis, países do Golfo e o fechamento do Estreito de Ormuz também violam o direito internacional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oficial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Fim das hostilidades, reabertura incondicional de Ormuz, retorno dos inspetores da AIEA e negociação de acordo nuclear verificável. O Brasil se opõe a que o Irã obtenha armas nucleares e se opõe ao uso da força como meio de contraproliferação fora da Carta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 ataques a civis e infraestrutura civil por qualquer parte, o bloqueio de rotas marítimas internacionais e o descumprimento das salvaguardas da AIEA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Sanções, mediação, ajuda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Apoio a mediações em curso (Omã, Paquistão, Catar); disposição para integrar mecanismos técnicos de verificação. Sem sanções unilaterais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No Conselho de Governadores da AIEA (quando membro) e na ONU: a favor de resoluções que exijam cooperação plena do Irã com inspeções; a favor de resoluções pela cessação das hostilidades e liberdade de navegação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Interesses nacionais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Preço do petróleo e fertilizantes, fretes, segurança de navios brasileiros, defesa do TNP e da não proliferação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4.6 China e Taiwan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Brasil reconhece a República Popular da China como único governo legítimo da China (política de uma só China, desde 1974). Qualquer mudança no status do estreito deve ser pacífica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oficial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Manutenção da política de uma só China; oposição explícita ao uso ou ameaça de uso da força por qualquer parte; defesa da liberdade de navegação e do comércio de semicondutores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Condenaria qualquer bloqueio ou ação militar contra Taiwan, bem como provocações que aumentem o risco de guerra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Sanções, mediação, ajuda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Neutralidade diplomática ativa; relações comerciais e culturais não oficiais com Taiwan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Votos na ONU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Seguir a Resolução 2758 da Assembleia Geral; apoiar resoluções sobre solução pacífica de controvérsias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Interesses nacionais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Cadeias de semicondutores, comércio com a China, estabilidade global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4.7 Venezuela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7133"/>
      </w:tblGrid>
      <w:tr>
        <w:trPr>
          <w:cantSplit/>
          <w:tblHeader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Interpretação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eleição venezuelana de 2024 não teve transparência mínima e o regime de Nicolás Maduro perdeu legitimidade democrática. A operação militar americana que capturou Maduro em janeiro de 2026 violou a soberania venezuelana e a Carta da ONU, independentemente da natureza do regime. O governo interino de Delcy Rodríguez prometeu eleições na ONU em setembro de 2026, sem data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Posição oficial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Brasil manterá relações de Estado com a Venezuela, mas condicionará cooperação política a um calendário eleitoral com observação internacional independente, libertação de presos políticos e participação plena da oposição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 a repressão política na Venezuela e condena intervenções militares unilaterais na região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Sanções, mediação, ajuda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Oferta de mediação regional, com Colômbia e México, para a transição eleitoral. Manutenção e ampliação da Operação Acolhida para migrantes venezuelanos em Roraima, com interiorização e acesso a emprego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Votos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favor de resoluções sobre direitos humanos na Venezuela no Conselho de Direitos Humanos; contra legitimar intervenções militares unilaterais</w:t>
            </w:r>
          </w:p>
        </w:tc>
      </w:tr>
      <w:tr>
        <w:trPr>
          <w:cantSplit/>
          <w:tblHeader w:val="off"/>
        </w:trPr>
        <w:tc>
          <w:tcPr>
            <w:tcW w:type="dxa" w:w="2505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Interesses nacionais</w:t>
            </w:r>
          </w:p>
        </w:tc>
        <w:tc>
          <w:tcPr>
            <w:tcW w:type="dxa" w:w="7133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Estabilidade da fronteira norte, migração, crime organizado transnacional, princípio da não intervenção militar na América do Sul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4.8 Outros conflitos e crises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Crise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Sudão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Condenação das atrocidades contra civis cometidas pelas Forças de Apoio Rápido e pelas Forças Armadas Sudanesas; apoio a embargo de armas da ONU e à responsabilização penal; ajuda humanitária alimentar com estoques públicos brasileiros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Iêmen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Apoio ao processo de paz da ONU; condenação dos ataques houthis à navegação no Mar Vermelho e de ataques contra civis por qualquer parte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Haiti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Apoio a força multinacional com mandato da ONU contra gangues armadas; o Brasil oferece formação policial e engenharia, não tropas de combate, tendo em vista as lições da MINUSTAH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1E2A30"/>
                <w:sz w:val="18"/>
                <w:szCs w:val="18"/>
              </w:rPr>
              <w:t xml:space="preserve">América Latina</w:t>
            </w:r>
          </w:p>
        </w:tc>
        <w:tc>
          <w:tcPr>
            <w:tcW w:type="dxa" w:w="8096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Defesa da Zona de Paz; cooperação regional contra facções transnacionais; oposição a bases militares estrangeiras permanentes na América do Sul que não decorram de acordos transparentes e aprovados pelos Congressos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Como conciliar princípios, pragmatismo e interesse nacional</w:t>
      </w:r>
    </w:p>
    <w:p>
      <w:pPr>
        <w:pBdr>
          <w:left w:val="single" w:color="D99A2B" w:sz="24" w:space="8"/>
        </w:pBdr>
        <w:shd w:fill="F2EBDD" w:color="auto" w:val="clear"/>
        <w:spacing w:after="160" w:before="120"/>
        <w:ind w:left="200" w:right="200"/>
      </w:pPr>
      <w:r>
        <w:rPr>
          <w:rFonts w:ascii="Arial" w:cs="Arial" w:eastAsia="Arial" w:hAnsi="Arial"/>
          <w:b/>
          <w:bCs/>
          <w:color w:val="1E2A30"/>
        </w:rPr>
        <w:t xml:space="preserve">Regra de decisão do governo:</w:t>
      </w:r>
      <w:r>
        <w:rPr>
          <w:rFonts w:ascii="Arial" w:cs="Arial" w:eastAsia="Arial" w:hAnsi="Arial"/>
          <w:color w:val="1E2A30"/>
        </w:rPr>
        <w:t xml:space="preserve"> (1) princípio — o que dizem a Carta da ONU e o direito humanitário? (2) coerência — como o Brasil se posicionou em casos semelhantes? (3) interesse — quais custos econômicos e de segurança decorrem da posição, e como mitigá-los? O Brasil pode modular </w:t>
      </w:r>
      <w:r>
        <w:rPr>
          <w:rFonts w:ascii="Arial" w:cs="Arial" w:eastAsia="Arial" w:hAnsi="Arial"/>
          <w:b/>
          <w:bCs/>
          <w:color w:val="1E2A30"/>
        </w:rPr>
        <w:t xml:space="preserve">o tom e o instrumento</w:t>
      </w:r>
      <w:r>
        <w:rPr>
          <w:rFonts w:ascii="Arial" w:cs="Arial" w:eastAsia="Arial" w:hAnsi="Arial"/>
          <w:color w:val="1E2A30"/>
        </w:rPr>
        <w:t xml:space="preserve"> (nota, voto, abstenção, mediação) por pragmatismo, mas não modula </w:t>
      </w:r>
      <w:r>
        <w:rPr>
          <w:rFonts w:ascii="Arial" w:cs="Arial" w:eastAsia="Arial" w:hAnsi="Arial"/>
          <w:b/>
          <w:bCs/>
          <w:color w:val="1E2A30"/>
        </w:rPr>
        <w:t xml:space="preserve">o conteúdo do princípio</w:t>
      </w:r>
      <w:r>
        <w:rPr>
          <w:rFonts w:ascii="Arial" w:cs="Arial" w:eastAsia="Arial" w:hAnsi="Arial"/>
          <w:color w:val="1E2A30"/>
        </w:rPr>
        <w:t xml:space="preserve"> conforme a identidade do país envolvido.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05: Política externa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Externa e Geopolítica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2026-10-20T05:37:44.096Z</dcterms:created>
  <dcterms:modified xsi:type="dcterms:W3CDTF">2026-10-20T05:37:44.096Z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