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06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Decisões Controversas, 25 Promessas e Cronograma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O que a candidata realmente pensa, o que promete entregar e quando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As 20 decisões controversas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As 25 promessas presidenciais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2.1 Primeiros 100 dias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2.2 Curto prazo — primeiro ano (2027)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2.3 Médio prazo — segundo e terceiro anos (2028–2029)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2.4 Longo prazo — último ano (2030)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Cronograma de implementação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As 20 decisões controversas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Cada resposta traz uma decisão concreta, as condições e limites, e a justificativa. Nenhuma resposta se limita a “buscar o equilíbrio”.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1734"/>
        <w:gridCol w:w="3855"/>
        <w:gridCol w:w="3664"/>
      </w:tblGrid>
      <w:tr>
        <w:trPr>
          <w:cantSplit/>
          <w:tblHeader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Empresas estatais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Privatizar os Correios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(com contrato de universalização) e vender participações minoritárias não estratégicas.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Manter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Petrobras, Banco do Brasil, Caixa, BNDES, Embrapa, Fiocruz e estatais de defesa sob controle público, com governança blindada por lei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Estatais em mercados competitivos que exigem aportes recorrentes (Correios: R$ 6 bi no PLOA 2027) transferem custo ao contribuinte. As mantidas têm papel estratégico ou de política pública identificável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Setor privado no SUS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Ampliar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a contratação complementar de prestadores privados e filantrópicos para atenção especializada e cirurgias, com preço por pacote, metas e auditoria.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Não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privatizar atenção básica nem gestão do sistema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fila é o maior problema do SUS; a capacidade privada ociosa pode reduzi-la mais rápido do que construir hospitais. A universalidade e a gratuidade permanecem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3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Impostos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Manter a carga total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estável (32–33% do PIB),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cortar renúncias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em 1,2 ponto do PIB e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reduzir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IRPJ+CSLL de 34% para 28%, compensado por tributação integral de dividendos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problema é a qualidade da tributação, não o nível. Privilégios setoriais custam mais que muitos ministérios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4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Gastos x investimentos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Reduzir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despesas correntes (custeio, supersalários, emendas, fraudes) e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proteger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investimento, primeira infância e alfabetização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Ajuste que corta só investimento destrói crescimento futuro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5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Legislação trabalhista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Manter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a reforma de 2017 em seus pilares;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criar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lei para trabalho por plataformas com previdência e remuneração mínima por hora, sem vínculo CLT obrigatório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Segurança jurídica para contratar e proteção mínima para cerca de 1,5 milhão de trabalhadores de plataformas identificados pelo IBGE em 2022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6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Jornada semanal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Implementar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a redução para 40 horas promulgada em outubro de 2026,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sem propor reversão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, com crédito de transição para pequenas empresas e monitoramento de emprego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Reverter emenda recém-aprovada geraria insegurança; o papel do governo é mitigar custos de transição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7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Armas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Restringir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manter regras atuais de controle, recadastramento e fiscalização de CACs pela Polícia Federal, programa nacional de recompra voluntária e rastreamento balístico obrigatório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Estudos de rastreamento de armas apreendidas no Brasil indicam que parcela relevante foi fabricada ou comercializada legalmente antes do desvio para o crime; mais armas em circulação ampliam esse estoque. Segurança é dever do Estado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8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Drogas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Manter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a distinção entre usuário e traficante fixada pelo STF para maconha;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regulamentar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o uso medicinal da cannabis;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não legalizar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o comércio recreativo; prioridade à repressão do tráfico organizado e lavagem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Encarcerar usuários alimenta as facções dentro das prisões; legalizar o comércio sem capacidade regulatória seria imprudente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9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Sistema prisional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Reformar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três presídios federais de segurança máxima para lideranças, trabalho e estudo obrigatórios, mutirões de prisões provisórias e penas alternativas para crimes sem violência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Prisões superlotadas (déficit de 281 mil vagas) são escritório e escola das facções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10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Maioridade penal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Manter 18 anos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ampliar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o tempo máximo de internação socioeducativa de 3 para 8 anos em crimes hediondos e homicídios, com unidades separadas por idade e gravidade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Reduzir a maioridade colocaria adolescentes nas mesmas prisões controladas por facções; a resposta proporcional está no ECA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11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Aborto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Manter a legislação vigente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as hipóteses do Código Penal (risco à vida da gestante e estupro) e a de anencefalia reconhecida pelo STF.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Garantir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acesso efetivo aos serviços nesses casos.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Opor-se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tanto a projetos que restrinjam esses casos quanto à ampliação por via judicial: mudança dessa natureza cabe ao Congresso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É tema de profunda divergência moral na sociedade; a candidata respeita o pacto legal existente e o papel do Legislativo, e considera inaceitável que mulheres e meninas vítimas de estupro tenham o direito legal negado na prática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12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Direitos civis e liberdade de expressão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Defender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liberdade de expressão ampla, sem censura prévia governamental; responsabilidade civil e penal posterior por crimes;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regular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plataformas por dever de cuidado sistêmico com devido processo (ver item 17)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Liberdade não protege crimes, mas o governo não deve decidir o que é verdade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13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Sistema eleitoral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Adotar o voto distrital misto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para a Câmara a partir de 2030 e fortalecer a cláusula de desempenho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Aproxima eleitor e representante e reduz fragmentação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14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Privatizações e concessões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Ampliar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concessões e PPPs (carteira de 60 projetos) e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limitar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privatizações a casos sem função estratégica, com modelagem pública e avaliação independente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Concessão com contrato de desempenho entrega infraestrutura sem perder a titularidade pública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15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Energia nuclear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Investir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: concluir Angra 3 com parceiro privado minoritário e tarifa via leilão; programa de pequenos reatores modulares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Energia firme, limpa e complementar a eólica e solar intermitentes; o Brasil tem urânio e domínio do ciclo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16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Exploração de recursos naturais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Permitir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exploração de petróleo na Margem Equatorial e de minerais críticos com licenciamento rigoroso e rastreabilidade;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proibir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efetivamente garimpo em terras indígenas e em unidades de conservação de proteção integral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Receitas do petróleo financiam a transição; recusá-las não reduz a demanda global, apenas transfere a produção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17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Redes sociais e plataformas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Regular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com lei de dever de cuidado sobre riscos sistêmicos (abuso infantil, terrorismo, fraudes), transparência de algoritmos e anúncios, devido processo para remoção e fiscalização por autoridade independente —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nunca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por órgão subordinado ao governo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Plataformas lucram com alcance e devem gerir riscos previsíveis; governos não devem controlar o debate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18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Inteligência artificial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Regular por nível de risco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, com obrigações fortes apenas para usos de alto risco (crédito, saúde, segurança pública, emprego), sandbox regulatório e regras de direitos autorais;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proibir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reconhecimento facial em massa em tempo real sem autorização judicial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Proteger direitos sem bloquear inovação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19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Moeda comum do BRICS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Rejeitar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. Apoiar apenas instrumentos de pagamento em moedas locais e o Novo Banco de Desenvolvimento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Uma moeda comum exigiria convergência fiscal e monetária impossível e cederia soberania monetária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20</w:t>
            </w:r>
          </w:p>
        </w:tc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Cooperação militar internacional</w:t>
            </w:r>
          </w:p>
        </w:tc>
        <w:tc>
          <w:tcPr>
            <w:tcW w:type="dxa" w:w="385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Ampliar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cooperação técnica, exercícios e compras com transferência de tecnologia com parceiros diversos;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não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aderir a alianças militares; </w:t>
            </w: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não</w:t>
            </w: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 enviar tropas de combate a conflitos fora de missões da ONU</w:t>
            </w:r>
          </w:p>
        </w:tc>
        <w:tc>
          <w:tcPr>
            <w:tcW w:type="dxa" w:w="366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Modernização sem alinhamento automático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As 25 promessas presidenciais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Probabilidade estimada de cumprimento: avaliação honesta da campanha considerando competência legal, dependência do Congresso e de entes federativos e risco de execução. Nenhuma promessa recebe 100%.</w:t>
      </w:r>
    </w:p>
    <w:p>
      <w:pPr>
        <w:pStyle w:val="Heading2"/>
      </w:pPr>
      <w:r>
        <w:rPr>
          <w:rFonts w:ascii="Arial" w:cs="Arial" w:eastAsia="Arial" w:hAnsi="Arial"/>
        </w:rPr>
        <w:t xml:space="preserve">2.1 Primeiros 100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1349"/>
        <w:gridCol w:w="1638"/>
        <w:gridCol w:w="1445"/>
        <w:gridCol w:w="1252"/>
        <w:gridCol w:w="1445"/>
        <w:gridCol w:w="2124"/>
      </w:tblGrid>
      <w:tr>
        <w:trPr>
          <w:cantSplit/>
          <w:tblHeader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Promessa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Medida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Obra Parada Zero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Lista pública de todas as obras federais paralisadas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Decreto no 1º dia; inventário em 90 dias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Sem custo adicional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Painel publicado com 100% das obras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90%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depende só do Executivo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Pacote fiscal no Congresso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PLP de renúncias, PEC de emendas, PL do Teto Efetivo e novo compromisso fiscal enviados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Envio em 60 dias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Protocolo dos projetos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95%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para envio; aprovação é outra promessa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Agência contra o Crime Organizado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ANCO criada e funcionando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Medida provisória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R$ 2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MP editada e convertida em lei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70%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conversão depende do Congresso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4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Fila Pública do SUS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Painel nacional de filas por município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Portaria e condicionamento de repasses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R$ 300 mi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Painel online com adesão de ao menos 15 UFs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65%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depende de adesão federativa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5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Transição para 40 horas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Crédito e guia para micro e pequenas empresas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Linha BNDES de R$ 5 bi e portaria do MTE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≈R$ 1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Contratos assinados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Curto prazo — primeiro ano (2027)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1349"/>
        <w:gridCol w:w="1638"/>
        <w:gridCol w:w="1445"/>
        <w:gridCol w:w="1252"/>
        <w:gridCol w:w="1445"/>
        <w:gridCol w:w="2124"/>
      </w:tblGrid>
      <w:tr>
        <w:trPr>
          <w:cantSplit/>
          <w:tblHeader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Promessa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Medida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6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Fim dos supersalários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Nenhuma remuneração acima do teto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Lei do Teto Efetivo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Economia ≈R$ 5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Portais de transparência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45%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forte resistência corporativa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Redução da fila de cirurgias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−30% no estoque de cirurgias eletivas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Programa Fila Zero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R$ 4 bi em 2027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Fila Pública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55%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8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Concessões em andamento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 projetos qualificados e 8 leiloados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PPI e agências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Investimento privado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Leilões concluídos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60%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juros e mercado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9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Esplanada enxuta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25 ministérios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MP no 1º dia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Economia de custeio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Estrutura publicada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85%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10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Presídios federais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3 novas unidades contratadas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Licitação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R$ 8 bi totais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Contratos assinados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70%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2.3 Médio prazo — segundo e terceiro anos (2028–2029)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1349"/>
        <w:gridCol w:w="1638"/>
        <w:gridCol w:w="1445"/>
        <w:gridCol w:w="1252"/>
        <w:gridCol w:w="1445"/>
        <w:gridCol w:w="2124"/>
      </w:tblGrid>
      <w:tr>
        <w:trPr>
          <w:cantSplit/>
          <w:tblHeader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Promessa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Medida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11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Alfabetização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75% de crianças alfabetizadas em 2028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Compromisso Criança Alfabetizada ampliado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R$ 3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Indicador Criança Alfabetizada (Inep)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50%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depende de redes municipais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12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Ensino médio técnico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+1 milhão de matrículas EPT até 2030 (metade até 2029)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Programa com redes estaduais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Até R$ 12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Censo Escolar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13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Corte de renúncias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−0,8 ponto do PIB em gastos tributários até 2029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Lei complementar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Receita ≈R$ 130 bi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DGT da Receita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40%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bancadas setoriais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14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Menos mortes violentas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Abaixo de 16 por 100 mil em 2029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Plano de Redução de Homicídios e ANCO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Ver Eixo 6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Anuário FBSP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15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Saneamento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+12 milhões de pessoas com coleta de esgoto até 2030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Concessões regionalizadas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Subsídio R$ 2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SINISA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50%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16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Correios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Desestatização concluída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Lei e leilão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Fim de aportes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Contrato assinado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35%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17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Reforma administrativa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Nova regra de estabilidade aprovada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PEC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Promulgação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30%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18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Angra 3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Contrato e cronograma de conclusão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CNPE e leilão de reserva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Sem aporte primário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Contrato assinado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55%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19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Voto distrital misto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Aprovado até outubro de 2029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PEC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Promulgação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20%</w:t>
            </w: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 — depende de parlamentares mudarem as regras que os elegeram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20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Novos acordos comerciais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Mercosul–EFTA ratificado e mais um acordo concluído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Negociação e ratificação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Acordos em vigor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50%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2.4 Longo prazo — último ano (2030)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"/>
        <w:gridCol w:w="1349"/>
        <w:gridCol w:w="1638"/>
        <w:gridCol w:w="1445"/>
        <w:gridCol w:w="1252"/>
        <w:gridCol w:w="1445"/>
        <w:gridCol w:w="2124"/>
      </w:tblGrid>
      <w:tr>
        <w:trPr>
          <w:cantSplit/>
          <w:tblHeader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Promessa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Medida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Probabilidade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21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Superávit real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Primário de ao menos 1,5% do PIB em 2030 sem deduções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Pacote fiscal completo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RTN/Tesouro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22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Dívida sob controle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Variação da dívida bruta ≤ 0,5 ponto do PIB em 2030 e queda contratada para 2031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Ajuste fiscal e queda de juros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Banco Central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23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Floresta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Desmatamento ilegal na Amazônia em trajetória para zero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Força Ambiental, CAR e crédito condicionado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R$ 1 bi/ano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PRODES/Inpe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35%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24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Investimento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Taxa de investimento de 18,5% do PIB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Concessões, juros menores, previsibilidade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Privado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IBGE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35%</w:t>
            </w:r>
          </w:p>
        </w:tc>
      </w:tr>
      <w:tr>
        <w:trPr>
          <w:cantSplit/>
          <w:tblHeader w:val="off"/>
        </w:trPr>
        <w:tc>
          <w:tcPr>
            <w:tcW w:type="dxa" w:w="38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25</w:t>
            </w:r>
          </w:p>
        </w:tc>
        <w:tc>
          <w:tcPr>
            <w:tcW w:type="dxa" w:w="134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Formalização</w:t>
            </w:r>
          </w:p>
        </w:tc>
        <w:tc>
          <w:tcPr>
            <w:tcW w:type="dxa" w:w="1638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Informalidade abaixo de 34%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Simples revisado, MEI suave, lei de plataformas</w:t>
            </w:r>
          </w:p>
        </w:tc>
        <w:tc>
          <w:tcPr>
            <w:tcW w:type="dxa" w:w="125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—</w:t>
            </w:r>
          </w:p>
        </w:tc>
        <w:tc>
          <w:tcPr>
            <w:tcW w:type="dxa" w:w="144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6"/>
                <w:szCs w:val="16"/>
              </w:rPr>
              <w:t xml:space="preserve">PNAD Contínua</w:t>
            </w:r>
          </w:p>
        </w:tc>
        <w:tc>
          <w:tcPr>
            <w:tcW w:type="dxa" w:w="212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6"/>
                <w:szCs w:val="16"/>
              </w:rPr>
              <w:t xml:space="preserve">40%</w:t>
            </w:r>
          </w:p>
        </w:tc>
      </w:tr>
    </w:tbl>
    <w:p>
      <w:pPr>
        <w:spacing w:after="120"/>
      </w:pPr>
    </w:p>
    <w:p>
      <w:pPr>
        <w:pBdr>
          <w:left w:val="single" w:color="D99A2B" w:sz="24" w:space="8"/>
        </w:pBdr>
        <w:shd w:fill="F2EBDD" w:color="auto" w:val="clear"/>
        <w:spacing w:after="160" w:before="120"/>
        <w:ind w:left="200" w:right="200"/>
      </w:pPr>
      <w:r>
        <w:rPr>
          <w:rFonts w:ascii="Arial" w:cs="Arial" w:eastAsia="Arial" w:hAnsi="Arial"/>
          <w:b/>
          <w:bCs/>
          <w:color w:val="1E2A30"/>
        </w:rPr>
        <w:t xml:space="preserve">Nota de honestidade.</w:t>
      </w:r>
      <w:r>
        <w:rPr>
          <w:rFonts w:ascii="Arial" w:cs="Arial" w:eastAsia="Arial" w:hAnsi="Arial"/>
          <w:color w:val="1E2A30"/>
        </w:rPr>
        <w:t xml:space="preserve"> A média simples das probabilidades é de cerca de 54%. A campanha prefere promessas que possam falhar em público a promessas que não possam ser verificadas.</w:t>
      </w:r>
    </w:p>
    <w:p>
      <w:pPr>
        <w:pStyle w:val="Heading1"/>
      </w:pPr>
      <w:r>
        <w:rPr>
          <w:rFonts w:ascii="Arial" w:cs="Arial" w:eastAsia="Arial" w:hAnsi="Arial"/>
        </w:rPr>
        <w:t xml:space="preserve">3. Cronograma de implementação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Transição (nov–dez/2026)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Equipe de transição com auditoria das contas; desenho das MPs do 1º dia; negociação do Pacto de Governo com partidos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1º dia (01/01/2027)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MP da Esplanada com 25 ministérios; decreto Obra Parada Zero; decreto de transparência de agendas e contratos; publicação dos termos de metas de cada ministro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Até 60 dias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Envio do pacote fiscal: PLP de gastos tributários, PEC de emendas, PL do Teto Efetivo, alteração do arcabouço (LC 200/2023)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Até 100 dias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MP da ANCO; Fila Pública do SUS; crédito de transição para 40 horas; regulamentação da PEC da Segurança, se promulgada; decisão sobre Angra 3 até o dia 120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2027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de plataformas; lei de triagem de investimentos; reforma das pensões militares; PEC da reforma administrativa; PEC do BPC; licitação de presídios federais; 8 leilões de concessão; contencioso e negociação com EUA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2028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Bolsa Família Primeira Infância; reforma neutra do IRPJ; reforma do setor elétrico; meta de alfabetização de 75%; início da redução da TEC; primeiro relatório do Conselho de Avaliação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2029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Prazo final (outubro) para reformas eleitorais valerem em 2030; conclusão dos presídios federais; CAR validado na Amazônia; desestatização dos Correios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2030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Metas finais: primário de 1,6% do PIB no cenário central (meta de 1,75%), variação da dívida bruta de no máximo 0,5 ponto, 80% de alfabetização, +1 milhão de matrículas técnicas, MVI abaixo de 16/100 mil; relatório público de prestação de contas do mandato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06: Controversas, promessas e cronograma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Decisões Controversas, 25 Promessas e Cronograma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2026-10-20T05:37:44.167Z</dcterms:created>
  <dcterms:modified xsi:type="dcterms:W3CDTF">2026-10-20T05:37:44.167Z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