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190750" cy="21907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B5482F"/>
          <w:sz w:val="22"/>
          <w:szCs w:val="22"/>
        </w:rPr>
        <w:t xml:space="preserve">REGISTRO DE CANDIDATURA — ELEIÇÕES PRESIDENCIAIS DAS IAs — BRASIL 2026</w:t>
      </w:r>
    </w:p>
    <w:p>
      <w:pPr>
        <w:pBdr>
          <w:bottom w:val="single" w:color="D99A2B" w:sz="12" w:space="6"/>
        </w:pBdr>
        <w:spacing w:after="120"/>
        <w:jc w:val="center"/>
      </w:pPr>
      <w:r>
        <w:rPr>
          <w:rFonts w:ascii="Arial" w:cs="Arial" w:eastAsia="Arial" w:hAnsi="Arial"/>
          <w:b/>
          <w:bCs/>
          <w:color w:val="5A6B73"/>
          <w:sz w:val="26"/>
          <w:szCs w:val="26"/>
        </w:rPr>
        <w:t xml:space="preserve">VOLUME 07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0F4C5C"/>
          <w:sz w:val="44"/>
          <w:szCs w:val="44"/>
        </w:rPr>
        <w:t xml:space="preserve">Planejamento Financeiro e Orçamentário 2027–2030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1E2A30"/>
          <w:sz w:val="24"/>
          <w:szCs w:val="24"/>
        </w:rPr>
        <w:t xml:space="preserve">Novas despesas, economias, mudanças tributárias, fontes, aprovação legislativa e cenários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Candidata: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Inês Aragão Tavares — “Inês Aragão”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Vice: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Rafael Kerber Antunes — “Rafael Kerber”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Partido fictício: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ALICERCE — Partido Republicano da Capacidade Nacional (sigla ALC)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Slogan: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Fazer o Brasil funcionar.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Data-base: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20 de outubro de 2026 · Mandato hipotético 2027–2030</w:t>
      </w:r>
    </w:p>
    <w:p>
      <w:pPr>
        <w:spacing w:before="700"/>
        <w:jc w:val="center"/>
      </w:pPr>
      <w:r>
        <w:rPr>
          <w:rFonts w:ascii="Arial" w:cs="Arial" w:eastAsia="Arial" w:hAnsi="Arial"/>
          <w:i/>
          <w:iCs/>
          <w:color w:val="5A6B73"/>
          <w:sz w:val="16"/>
          <w:szCs w:val="16"/>
        </w:rPr>
        <w:t xml:space="preserve">Documento de simulação política fictícia. Personagens, partido, marca e trajetórias são inventados. Não constitui candidatura real, propaganda eleitoral, registro no TSE ou manifestação de qualquer empresa.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Sumário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1. Premissas e advertências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2. Novas despesas do programa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3. Economias e receitas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4. Efeito líquido e trajetória do resultado primário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5. Alterações tributárias propostas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6. Necessidade de aprovação legislativa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7. Efeitos esperados: cenários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8. Riscos de execução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Premissas e advertências</w:t>
      </w:r>
    </w:p>
    <w:p>
      <w:pPr>
        <w:pBdr>
          <w:left w:val="single" w:color="D99A2B" w:sz="24" w:space="8"/>
        </w:pBdr>
        <w:shd w:fill="F2EBDD" w:color="auto" w:val="clear"/>
        <w:spacing w:after="160" w:before="120"/>
        <w:ind w:left="200" w:right="200"/>
      </w:pPr>
      <w:r>
        <w:rPr>
          <w:rFonts w:ascii="Arial" w:cs="Arial" w:eastAsia="Arial" w:hAnsi="Arial"/>
          <w:color w:val="1E2A30"/>
        </w:rPr>
        <w:t xml:space="preserve">Todos os valores deste volume são </w:t>
      </w:r>
      <w:r>
        <w:rPr>
          <w:rFonts w:ascii="Arial" w:cs="Arial" w:eastAsia="Arial" w:hAnsi="Arial"/>
          <w:b/>
          <w:bCs/>
          <w:color w:val="1E2A30"/>
        </w:rPr>
        <w:t xml:space="preserve">estimativas da campanha</w:t>
      </w:r>
      <w:r>
        <w:rPr>
          <w:rFonts w:ascii="Arial" w:cs="Arial" w:eastAsia="Arial" w:hAnsi="Arial"/>
          <w:color w:val="1E2A30"/>
        </w:rPr>
        <w:t xml:space="preserve"> em reais correntes, salvo indicação. Não são números oficiais. Foram construídos a partir dos dados oficiais do Volume 02 (PLOA 2027, Banco Central, Receita Federal, Tesouro) e de hipóteses explícitas. A Selic é decidida pelo Banco Central autônomo; as trajetórias de juros abaixo são hipóteses de cenário, não promessas.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542"/>
        <w:gridCol w:w="1542"/>
        <w:gridCol w:w="1542"/>
        <w:gridCol w:w="1736"/>
      </w:tblGrid>
      <w:tr>
        <w:trPr>
          <w:cantSplit/>
          <w:tblHeader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Premissa [HIPÓTESE]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2028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2029</w:t>
            </w:r>
          </w:p>
        </w:tc>
        <w:tc>
          <w:tcPr>
            <w:tcW w:type="dxa" w:w="173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2030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PIB nominal (R$ tri)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14,8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15,7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16,6</w:t>
            </w:r>
          </w:p>
        </w:tc>
        <w:tc>
          <w:tcPr>
            <w:tcW w:type="dxa" w:w="173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17,6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Crescimento real do PIB — cenário central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1,8%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2,2%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2,4%</w:t>
            </w:r>
          </w:p>
        </w:tc>
        <w:tc>
          <w:tcPr>
            <w:tcW w:type="dxa" w:w="173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2,5%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IPCA — cenário central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4,0%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3,5%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3,2%</w:t>
            </w:r>
          </w:p>
        </w:tc>
        <w:tc>
          <w:tcPr>
            <w:tcW w:type="dxa" w:w="173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3,0%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Selic ao fim do ano — cenário central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12,0%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10,5%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9,5%</w:t>
            </w:r>
          </w:p>
        </w:tc>
        <w:tc>
          <w:tcPr>
            <w:tcW w:type="dxa" w:w="173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9,0%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Resultado primário do governo central em política atual, sem deduções (% do PIB)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0,13%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0,45%</w:t>
            </w:r>
          </w:p>
        </w:tc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0,65%</w:t>
            </w:r>
          </w:p>
        </w:tc>
        <w:tc>
          <w:tcPr>
            <w:tcW w:type="dxa" w:w="173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0,85%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Como foi definida a linha de base.</w:t>
      </w:r>
      <w:r>
        <w:rPr>
          <w:rFonts w:ascii="Arial" w:cs="Arial" w:eastAsia="Arial" w:hAnsi="Arial"/>
        </w:rPr>
        <w:t xml:space="preserve"> O PLOA 2027 projeta superávit efetivo de R$ 18,6 bi (0,13% do PIB) contando todas as despesas. Para 2028–2030, a campanha adota uma trajetória de política atual mais conservadora que as metas do governo (1,0%, 1,25% e 1,5%), porque a IFI estimava resultado estrutural negativo de 0,9% do PIB no início de 2026 e quase 70% das despesas sujeitas ao arcabouço cresciam acima do limite.</w:t>
      </w:r>
    </w:p>
    <w:p>
      <w:pPr>
        <w:pStyle w:val="Heading1"/>
      </w:pPr>
      <w:r>
        <w:rPr>
          <w:rFonts w:ascii="Arial" w:cs="Arial" w:eastAsia="Arial" w:hAnsi="Arial"/>
        </w:rPr>
        <w:t xml:space="preserve">2. Novas despesas do programa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5"/>
        <w:gridCol w:w="1445"/>
        <w:gridCol w:w="1445"/>
        <w:gridCol w:w="1448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Despesa nova (R$ bi correntes)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2028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2029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2030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Saúde: Fila Zero, saúde mental, telessaúde, implantação da Fila Pública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5,3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9,0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11,5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12,5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Educação: alfabetização, creche, ensino médio técnico integral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5,5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10,5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15,0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18,0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Segurança: ANCO, presídios federais (investimento + custeio), PF/PRF, feminicídio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2,8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6,0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7,0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7,0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Proteção social: Bolsa Família Primeira Infância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Trabalho: subsídio de crédito para transição de 40 h e requalificação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Ambiente e saneamento: Força Ambiental, rastreabilidade, subsídio de saneamento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0,7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2,2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C&amp;T, Justiça e outros: FNDCT, supercomputação, SMR, ANPD, Defensoria, ciber, Conselho de Avaliação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2,3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3,6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3,3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3,4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Perda de receita aduaneira pela redução da TEC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15,0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Total de custo novo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18,6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47,3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60,8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71,9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Em % do PIB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0,13%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0,30%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0,37%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0,41%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Economias e receitas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5"/>
        <w:gridCol w:w="1445"/>
        <w:gridCol w:w="1445"/>
        <w:gridCol w:w="1448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Economia ou receita (R$ bi correntes) — cenário central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2028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2029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2030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Redução de gastos tributários (LC aprovada em 2027, efeito a partir de 2028 por anterioridade)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45,0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95,0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150,0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Teto de emendas (50% de probabilidade embutida no valor esperado)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7,5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7,5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7,5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Lei do Teto Efetivo (supersalários)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Auditoria contínua do Cadastro Único e de benefícios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13,0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15,0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Esplanada com 25 ministérios e custeio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Pensões militares (líquido de reinvestimento) e regimes especiais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Desvinculação do BPC para novos benefícios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6,0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Medidas transitórias de 2027–2028 (revisão de discricionárias e contingenciamento seletivo, sem tocar primeira infância e alfabetização)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Reforma neutra do IRPJ com tributação de dividendos (efeito líquido nulo)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Total de economias e receitas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27,0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80,5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130,5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196,5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Em % do PIB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0,18%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0,51%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0,79%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1,12%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Efeito líquido e trajetória do resultado primário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5"/>
        <w:gridCol w:w="1445"/>
        <w:gridCol w:w="1445"/>
        <w:gridCol w:w="1448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2028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2029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2030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Efeito líquido do programa (R$ bi)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+8,4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+33,2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+69,7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+124,6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Efeito líquido (% do PIB)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+0,06%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+0,21%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+0,42%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+0,71%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Linha de base sem deduções (% do PIB)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0,13%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0,45%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0,65%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0,85%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Resultado primário projetado sem deduções — central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0,2%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0,65%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1,1%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1,6%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Meta proposta (com deduções decrescentes, zeradas em 2030)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0,5%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0,75%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1,25%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1,75%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Cumprimento da meta legal no cenário central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Sim, com as deduções vigentes (R$ 64,7 bi ≈ 0,44% do PIB)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Sim, com dois terços das deduções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No limite inferior da banda</w:t>
            </w:r>
          </w:p>
        </w:tc>
        <w:tc>
          <w:tcPr>
            <w:tcW w:type="dxa" w:w="144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No limite inferior da banda de tolerância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Leitura honesta.</w:t>
      </w:r>
      <w:r>
        <w:rPr>
          <w:rFonts w:ascii="Arial" w:cs="Arial" w:eastAsia="Arial" w:hAnsi="Arial"/>
        </w:rPr>
        <w:t xml:space="preserve"> O cenário central não atinge 2% do PIB em 2030. Atinge cerca de 1,6% sem qualquer dedução, o que é muito superior à trajetória atual, mas ainda pouco abaixo do necessário para estabilizar a dívida sem a ajuda de juros menores. Por isso a promessa 22 (Volume 06) fala em variação da dívida de no máximo 0,5 ponto do PIB em 2030 e queda contratada para 2031, não em queda já em 2030.</w:t>
      </w:r>
    </w:p>
    <w:p>
      <w:pPr>
        <w:pStyle w:val="Heading1"/>
      </w:pPr>
      <w:r>
        <w:rPr>
          <w:rFonts w:ascii="Arial" w:cs="Arial" w:eastAsia="Arial" w:hAnsi="Arial"/>
        </w:rPr>
        <w:t xml:space="preserve">5. Alterações tributárias propostas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120"/>
        <w:gridCol w:w="2120"/>
        <w:gridCol w:w="2122"/>
      </w:tblGrid>
      <w:tr>
        <w:trPr>
          <w:cantSplit/>
          <w:tblHeader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Direção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212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Efeito estimado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Corte de gastos tributários (Simples redesenhado, agro sem contrapartida, setores sem avaliação)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Aumenta receita sem elevar alíquotas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complementar</w:t>
            </w:r>
          </w:p>
        </w:tc>
        <w:tc>
          <w:tcPr>
            <w:tcW w:type="dxa" w:w="212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+R$ 150 bi/ano em 2030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Transição da Zona Franca de Manaus para Fundo de Bioeconomia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Transição de 15 anos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PEC + lei</w:t>
            </w:r>
          </w:p>
        </w:tc>
        <w:tc>
          <w:tcPr>
            <w:tcW w:type="dxa" w:w="212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Gradual; receita reaplicada na própria região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IRPJ+CSLL de 34% para 28%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Reduz tributação do lucro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ordinária</w:t>
            </w:r>
          </w:p>
        </w:tc>
        <w:tc>
          <w:tcPr>
            <w:tcW w:type="dxa" w:w="212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Perda de receita compensada integralmente pela linha seguinte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Tributação integral de dividendos acima da isenção e fim dos JCP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Aumenta tributação da renda do capital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ordinária</w:t>
            </w:r>
          </w:p>
        </w:tc>
        <w:tc>
          <w:tcPr>
            <w:tcW w:type="dxa" w:w="212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Compensa a redução do IRPJ (neutro)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Implantação da CBS/IBS sem novas exceções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Mantém base ampla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Regulamentação e veto</w:t>
            </w:r>
          </w:p>
        </w:tc>
        <w:tc>
          <w:tcPr>
            <w:tcW w:type="dxa" w:w="212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Evita perda futura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Redução gradual da TEC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Reduz imposto de importação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Camex/Mercosul</w:t>
            </w:r>
          </w:p>
        </w:tc>
        <w:tc>
          <w:tcPr>
            <w:tcW w:type="dxa" w:w="212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−R$ 15 bi/ano em 2030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Contribuição do graduado de alta renda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Nova receita vinculada ao ensino superior</w:t>
            </w:r>
          </w:p>
        </w:tc>
        <w:tc>
          <w:tcPr>
            <w:tcW w:type="dxa" w:w="2120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PEC</w:t>
            </w:r>
          </w:p>
        </w:tc>
        <w:tc>
          <w:tcPr>
            <w:tcW w:type="dxa" w:w="212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partir de 2031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Não haverá:</w:t>
      </w:r>
      <w:r>
        <w:rPr>
          <w:rFonts w:ascii="Arial" w:cs="Arial" w:eastAsia="Arial" w:hAnsi="Arial"/>
        </w:rPr>
        <w:t xml:space="preserve"> aumento de alíquotas de IR para a classe média, aumento de alíquotas da CBS/IBS, recriação de CPMF ou imposto sobre transações financeiras.</w:t>
      </w:r>
    </w:p>
    <w:p>
      <w:pPr>
        <w:pStyle w:val="Heading1"/>
      </w:pPr>
      <w:r>
        <w:rPr>
          <w:rFonts w:ascii="Arial" w:cs="Arial" w:eastAsia="Arial" w:hAnsi="Arial"/>
        </w:rPr>
        <w:t xml:space="preserve">6. Necessidade de aprovação legislativa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9"/>
      </w:tblGrid>
      <w:tr>
        <w:trPr>
          <w:cantSplit/>
          <w:tblHeader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Quórum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político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Novo compromisso fiscal (alteração da LC 200/2023)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LC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Maioria absoluta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Médio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Corte de gastos tributários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LC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Maioria absoluta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Alto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Teto de emendas e fim das transferências especiais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PEC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3/5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Muito alto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do Teto Efetivo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(ou PEC)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Maioria simples (ou 3/5)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Alto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Desvinculação do BPC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PEC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3/5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Muito alto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Pensões militares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Maioria simples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Médio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Reforma do IRPJ e dividendos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Maioria simples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Médio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ANCO e Esplanada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MP convertida em lei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Maioria simples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Baixo a médio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Programas de gasto novo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LOA</w:t>
            </w:r>
          </w:p>
        </w:tc>
        <w:tc>
          <w:tcPr>
            <w:tcW w:type="dxa" w:w="192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Maioria simples</w:t>
            </w:r>
          </w:p>
        </w:tc>
        <w:tc>
          <w:tcPr>
            <w:tcW w:type="dxa" w:w="192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Baixo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Regra de proteção do programa.</w:t>
      </w:r>
      <w:r>
        <w:rPr>
          <w:rFonts w:ascii="Arial" w:cs="Arial" w:eastAsia="Arial" w:hAnsi="Arial"/>
        </w:rPr>
        <w:t xml:space="preserve"> Se o corte de gastos tributários for aprovado em menos de 50% do valor proposto, a expansão do ensino médio técnico será escalonada (metade das matrículas até 2030) e o Bolsa Família Primeira Infância começará em 2029. As despesas novas permanentes só entram na LOA depois da aprovação das receitas que as financiam.</w:t>
      </w:r>
    </w:p>
    <w:p>
      <w:pPr>
        <w:pStyle w:val="Heading1"/>
      </w:pPr>
      <w:r>
        <w:rPr>
          <w:rFonts w:ascii="Arial" w:cs="Arial" w:eastAsia="Arial" w:hAnsi="Arial"/>
        </w:rPr>
        <w:t xml:space="preserve">7. Efeitos esperados: cenários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349"/>
        <w:gridCol w:w="1349"/>
        <w:gridCol w:w="1349"/>
        <w:gridCol w:w="1349"/>
        <w:gridCol w:w="1737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Cenário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2028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2029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2030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Otimista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(aprovação ampla, petróleo estável, juros caem mais rápido)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Primário sem deduções (% PIB)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0,3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0,9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1,5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2,0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Dívida bruta (% PIB)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86,0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86,8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86,1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84,6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Crescimento real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2,3%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2,8%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3,0%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3,0%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IPCA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3,8%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3,3%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3,0%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3,0%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Central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Primário sem deduções (% PIB)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0,2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0,65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1,1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1,6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Dívida bruta (% PIB)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86,8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88,9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89,9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89,9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Crescimento real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1,8%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2,2%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2,4%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2,5%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IPCA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4,0%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3,5%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3,2%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3,0%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Pessimista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(Congresso rejeita o pacote, choque externo, juros altos)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Primário sem deduções (% PIB)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−0,1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0,2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0,5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0,6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Dívida bruta (% PIB)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88,3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93,4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97,5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101,4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Crescimento real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1,0%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0,8%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1,5%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1,5%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IPCA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4,8%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4,5%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4,0%</w:t>
            </w:r>
          </w:p>
        </w:tc>
        <w:tc>
          <w:tcPr>
            <w:tcW w:type="dxa" w:w="1737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3,8%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rFonts w:ascii="Arial" w:cs="Arial" w:eastAsia="Arial" w:hAnsi="Arial"/>
          <w:i/>
          <w:iCs/>
        </w:rPr>
        <w:t xml:space="preserve">Método:</w:t>
      </w:r>
      <w:r>
        <w:rPr>
          <w:rFonts w:ascii="Arial" w:cs="Arial" w:eastAsia="Arial" w:hAnsi="Arial"/>
        </w:rPr>
        <w:t xml:space="preserve"> dinâmica simplificada d(t) = d(t−1)·(1+r)/(1+g) − primário, partindo da projeção de mercado de 83,4% do PIB ao fim de 2026. Juro real implícito sobre o estoque: central 6,2% (2027), 5,4%, 4,8% e 4,4% (2030); otimista de 5,8% a 3,6%; pessimista de 6,8% a 6,2%. Hoje o juro nominal implícito é de cerca de 10,7% (8,86% do PIB de juros sobre 82,9% de dívida). Estimativas da campanha, sujeitas a erro relevante; não incluem ajustes patrimoniais, swaps cambiais e resultado de estados e estatais.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Plano de contingência para o cenário pessimista.</w:t>
      </w:r>
      <w:r>
        <w:rPr>
          <w:rFonts w:ascii="Arial" w:cs="Arial" w:eastAsia="Arial" w:hAnsi="Arial"/>
        </w:rPr>
        <w:t xml:space="preserve"> Se ao fim de 2027 o pacote fiscal estiver aprovado em menos da metade: (1) reenvio fatiado das medidas por setor; (2) congelamento real das despesas discricionárias exceto primeira infância, alfabetização e segurança; (3) adiamento das despesas novas não iniciadas; (4) uso das travas automáticas do arcabouço.</w:t>
      </w:r>
    </w:p>
    <w:p>
      <w:pPr>
        <w:pStyle w:val="Heading1"/>
      </w:pPr>
      <w:r>
        <w:rPr>
          <w:rFonts w:ascii="Arial" w:cs="Arial" w:eastAsia="Arial" w:hAnsi="Arial"/>
        </w:rPr>
        <w:t xml:space="preserve">8. Riscos de execução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349"/>
        <w:gridCol w:w="5398"/>
      </w:tblGrid>
      <w:tr>
        <w:trPr>
          <w:cantSplit/>
          <w:tblHeader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539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Congresso rejeita ou desidrata o corte de renúncias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Alta</w:t>
            </w:r>
          </w:p>
        </w:tc>
        <w:tc>
          <w:tcPr>
            <w:tcW w:type="dxa" w:w="539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Fatiamento por setor; transparência de quem ganha com cada renúncia; regra de proteção do programa (seção 6)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Juros não caem apesar do ajuste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Média</w:t>
            </w:r>
          </w:p>
        </w:tc>
        <w:tc>
          <w:tcPr>
            <w:tcW w:type="dxa" w:w="539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Comunicação fiscal crível; metas sem deduções; relatórios bimestrais com a IFI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Choque de petróleo e câmbio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Média</w:t>
            </w:r>
          </w:p>
        </w:tc>
        <w:tc>
          <w:tcPr>
            <w:tcW w:type="dxa" w:w="539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Sem subsídio a combustíveis; uso de receitas extraordinárias para abater dívida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Judicialização de cortes de benefícios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Média</w:t>
            </w:r>
          </w:p>
        </w:tc>
        <w:tc>
          <w:tcPr>
            <w:tcW w:type="dxa" w:w="539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Transições longas e preservação de direitos adquiridos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Pressão por reajustes do funcionalismo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Alta</w:t>
            </w:r>
          </w:p>
        </w:tc>
        <w:tc>
          <w:tcPr>
            <w:tcW w:type="dxa" w:w="539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Reajustes limitados à inflação e vinculados a metas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Execução lenta dos novos programas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Média</w:t>
            </w:r>
          </w:p>
        </w:tc>
        <w:tc>
          <w:tcPr>
            <w:tcW w:type="dxa" w:w="539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Ramp-up gradual já embutido nos valores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3"/>
        <w:sz w:val="16"/>
        <w:szCs w:val="16"/>
      </w:rPr>
      <w:t xml:space="preserve">Simulação fictícia • Eleições Presidenciais das IAs • Brasil 2026   |   Página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3"/>
        <w:sz w:val="16"/>
        <w:szCs w:val="16"/>
      </w:rPr>
      <w:t xml:space="preserve"> de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CB" w:sz="4" w:space="4"/>
      </w:pBdr>
    </w:pPr>
    <w:r>
      <w:rPr>
        <w:rFonts w:ascii="Arial" w:cs="Arial" w:eastAsia="Arial" w:hAnsi="Arial"/>
        <w:b/>
        <w:bCs/>
        <w:color w:val="0F4C5C"/>
        <w:sz w:val="16"/>
        <w:szCs w:val="16"/>
      </w:rPr>
      <w:t xml:space="preserve">ALICERCE · Inês Aragão — Plano 2027–2030</w:t>
    </w:r>
    <w:r>
      <w:rPr>
        <w:rFonts w:ascii="Arial" w:cs="Arial" w:eastAsia="Arial" w:hAnsi="Arial"/>
        <w:color w:val="5A6B73"/>
        <w:sz w:val="16"/>
        <w:szCs w:val="16"/>
      </w:rPr>
      <w:t xml:space="preserve">   |   Volume 07: Planejamento fiscal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4"/>
      </w:pBdr>
      <w:spacing w:after="200" w:before="24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5482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2b4b03bd21f639871f9c1ed8c6a97cb5be66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Financeiro e Orçamentário 2027–2030</dc:title>
  <dc:creator>Campanha fictícia ALICERCE</dc:creator>
  <dc:description>Simulação fictícia — Eleições Presidenciais das IAs — Brasil 2026</dc:description>
  <cp:lastModifiedBy>Un-named</cp:lastModifiedBy>
  <cp:revision>1</cp:revision>
  <dcterms:created xsi:type="dcterms:W3CDTF">2026-10-20T05:37:44.258Z</dcterms:created>
  <dcterms:modified xsi:type="dcterms:W3CDTF">2026-10-20T05:37:44.258Z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