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2190750" cy="2190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190750"/>
                    </a:xfrm>
                    <a:prstGeom prst="rect">
                      <a:avLst/>
                    </a:prstGeom>
                  </pic:spPr>
                </pic:pic>
              </a:graphicData>
            </a:graphic>
          </wp:inline>
        </w:drawing>
      </w:r>
    </w:p>
    <w:p>
      <w:pPr>
        <w:spacing w:after="120" w:before="200"/>
        <w:jc w:val="center"/>
      </w:pPr>
      <w:r>
        <w:rPr>
          <w:rFonts w:ascii="Arial" w:cs="Arial" w:eastAsia="Arial" w:hAnsi="Arial"/>
          <w:b/>
          <w:bCs/>
          <w:color w:val="B5482F"/>
          <w:sz w:val="22"/>
          <w:szCs w:val="22"/>
        </w:rPr>
        <w:t xml:space="preserve">REGISTRO DE CANDIDATURA — ELEIÇÕES PRESIDENCIAIS DAS IAs — BRASIL 2026</w:t>
      </w:r>
    </w:p>
    <w:p>
      <w:pPr>
        <w:pBdr>
          <w:bottom w:val="single" w:color="D99A2B" w:sz="12" w:space="6"/>
        </w:pBdr>
        <w:spacing w:after="120"/>
        <w:jc w:val="center"/>
      </w:pPr>
      <w:r>
        <w:rPr>
          <w:rFonts w:ascii="Arial" w:cs="Arial" w:eastAsia="Arial" w:hAnsi="Arial"/>
          <w:b/>
          <w:bCs/>
          <w:color w:val="5A6B73"/>
          <w:sz w:val="26"/>
          <w:szCs w:val="26"/>
        </w:rPr>
        <w:t xml:space="preserve">VOLUME 08</w:t>
      </w:r>
    </w:p>
    <w:p>
      <w:pPr>
        <w:spacing w:after="160" w:before="300"/>
        <w:jc w:val="center"/>
      </w:pPr>
      <w:r>
        <w:rPr>
          <w:rFonts w:ascii="Arial" w:cs="Arial" w:eastAsia="Arial" w:hAnsi="Arial"/>
          <w:b/>
          <w:bCs/>
          <w:color w:val="0F4C5C"/>
          <w:sz w:val="44"/>
          <w:szCs w:val="44"/>
        </w:rPr>
        <w:t xml:space="preserve">Governabilidade, Testes de Crise e Autocrítica</w:t>
      </w:r>
    </w:p>
    <w:p>
      <w:pPr>
        <w:spacing w:after="500"/>
        <w:jc w:val="center"/>
      </w:pPr>
      <w:r>
        <w:rPr>
          <w:rFonts w:ascii="Arial" w:cs="Arial" w:eastAsia="Arial" w:hAnsi="Arial"/>
          <w:i/>
          <w:iCs/>
          <w:color w:val="1E2A30"/>
          <w:sz w:val="24"/>
          <w:szCs w:val="24"/>
        </w:rPr>
        <w:t xml:space="preserve">Como governar com 8% do Congresso, como reagir a cinco crises e onde o programa pode falhar</w:t>
      </w:r>
    </w:p>
    <w:p>
      <w:pPr>
        <w:spacing w:after="60"/>
        <w:jc w:val="center"/>
      </w:pPr>
      <w:r>
        <w:rPr>
          <w:rFonts w:ascii="Arial" w:cs="Arial" w:eastAsia="Arial" w:hAnsi="Arial"/>
          <w:b/>
          <w:bCs/>
          <w:color w:val="0F4C5C"/>
          <w:sz w:val="20"/>
          <w:szCs w:val="20"/>
        </w:rPr>
        <w:t xml:space="preserve">Candidata: </w:t>
      </w:r>
      <w:r>
        <w:rPr>
          <w:rFonts w:ascii="Arial" w:cs="Arial" w:eastAsia="Arial" w:hAnsi="Arial"/>
          <w:color w:val="1E2A30"/>
          <w:sz w:val="20"/>
          <w:szCs w:val="20"/>
        </w:rPr>
        <w:t xml:space="preserve">Inês Aragão Tavares — “Inês Aragão”</w:t>
      </w:r>
    </w:p>
    <w:p>
      <w:pPr>
        <w:spacing w:after="60"/>
        <w:jc w:val="center"/>
      </w:pPr>
      <w:r>
        <w:rPr>
          <w:rFonts w:ascii="Arial" w:cs="Arial" w:eastAsia="Arial" w:hAnsi="Arial"/>
          <w:b/>
          <w:bCs/>
          <w:color w:val="0F4C5C"/>
          <w:sz w:val="20"/>
          <w:szCs w:val="20"/>
        </w:rPr>
        <w:t xml:space="preserve">Vice: </w:t>
      </w:r>
      <w:r>
        <w:rPr>
          <w:rFonts w:ascii="Arial" w:cs="Arial" w:eastAsia="Arial" w:hAnsi="Arial"/>
          <w:color w:val="1E2A30"/>
          <w:sz w:val="20"/>
          <w:szCs w:val="20"/>
        </w:rPr>
        <w:t xml:space="preserve">Rafael Kerber Antunes — “Rafael Kerber”</w:t>
      </w:r>
    </w:p>
    <w:p>
      <w:pPr>
        <w:spacing w:after="60"/>
        <w:jc w:val="center"/>
      </w:pPr>
      <w:r>
        <w:rPr>
          <w:rFonts w:ascii="Arial" w:cs="Arial" w:eastAsia="Arial" w:hAnsi="Arial"/>
          <w:b/>
          <w:bCs/>
          <w:color w:val="0F4C5C"/>
          <w:sz w:val="20"/>
          <w:szCs w:val="20"/>
        </w:rPr>
        <w:t xml:space="preserve">Partido fictício: </w:t>
      </w:r>
      <w:r>
        <w:rPr>
          <w:rFonts w:ascii="Arial" w:cs="Arial" w:eastAsia="Arial" w:hAnsi="Arial"/>
          <w:color w:val="1E2A30"/>
          <w:sz w:val="20"/>
          <w:szCs w:val="20"/>
        </w:rPr>
        <w:t xml:space="preserve">ALICERCE — Partido Republicano da Capacidade Nacional (sigla ALC)</w:t>
      </w:r>
    </w:p>
    <w:p>
      <w:pPr>
        <w:spacing w:after="60"/>
        <w:jc w:val="center"/>
      </w:pPr>
      <w:r>
        <w:rPr>
          <w:rFonts w:ascii="Arial" w:cs="Arial" w:eastAsia="Arial" w:hAnsi="Arial"/>
          <w:b/>
          <w:bCs/>
          <w:color w:val="0F4C5C"/>
          <w:sz w:val="20"/>
          <w:szCs w:val="20"/>
        </w:rPr>
        <w:t xml:space="preserve">Slogan: </w:t>
      </w:r>
      <w:r>
        <w:rPr>
          <w:rFonts w:ascii="Arial" w:cs="Arial" w:eastAsia="Arial" w:hAnsi="Arial"/>
          <w:color w:val="1E2A30"/>
          <w:sz w:val="20"/>
          <w:szCs w:val="20"/>
        </w:rPr>
        <w:t xml:space="preserve">Fazer o Brasil funcionar.</w:t>
      </w:r>
    </w:p>
    <w:p>
      <w:pPr>
        <w:spacing w:after="60"/>
        <w:jc w:val="center"/>
      </w:pPr>
      <w:r>
        <w:rPr>
          <w:rFonts w:ascii="Arial" w:cs="Arial" w:eastAsia="Arial" w:hAnsi="Arial"/>
          <w:b/>
          <w:bCs/>
          <w:color w:val="0F4C5C"/>
          <w:sz w:val="20"/>
          <w:szCs w:val="20"/>
        </w:rPr>
        <w:t xml:space="preserve">Data-base: </w:t>
      </w:r>
      <w:r>
        <w:rPr>
          <w:rFonts w:ascii="Arial" w:cs="Arial" w:eastAsia="Arial" w:hAnsi="Arial"/>
          <w:color w:val="1E2A30"/>
          <w:sz w:val="20"/>
          <w:szCs w:val="20"/>
        </w:rPr>
        <w:t xml:space="preserve">20 de outubro de 2026 · Mandato hipotético 2027–2030</w:t>
      </w:r>
    </w:p>
    <w:p>
      <w:pPr>
        <w:spacing w:before="700"/>
        <w:jc w:val="center"/>
      </w:pPr>
      <w:r>
        <w:rPr>
          <w:rFonts w:ascii="Arial" w:cs="Arial" w:eastAsia="Arial" w:hAnsi="Arial"/>
          <w:i/>
          <w:iCs/>
          <w:color w:val="5A6B73"/>
          <w:sz w:val="16"/>
          <w:szCs w:val="16"/>
        </w:rPr>
        <w:t xml:space="preserve">Documento de simulação política fictícia. Personagens, partido, marca e trajetórias são inventados. Não constitui candidatura real, propaganda eleitoral, registro no TSE ou manifestação de qualquer empresa.</w:t>
      </w:r>
    </w:p>
    <w:p>
      <w:r>
        <w:br w:type="page"/>
      </w:r>
    </w:p>
    <w:p>
      <w:pPr>
        <w:spacing w:after="200"/>
      </w:pPr>
      <w:r>
        <w:rPr>
          <w:rFonts w:ascii="Arial" w:cs="Arial" w:eastAsia="Arial" w:hAnsi="Arial"/>
          <w:b/>
          <w:bCs/>
          <w:color w:val="0F4C5C"/>
          <w:sz w:val="32"/>
          <w:szCs w:val="32"/>
        </w:rPr>
        <w:t xml:space="preserve">Sumário</w:t>
      </w:r>
    </w:p>
    <w:p>
      <w:pPr>
        <w:spacing w:after="40" w:before="100"/>
      </w:pPr>
      <w:r>
        <w:rPr>
          <w:rFonts w:ascii="Arial" w:cs="Arial" w:eastAsia="Arial" w:hAnsi="Arial"/>
          <w:b/>
          <w:bCs/>
          <w:color w:val="0F4C5C"/>
          <w:sz w:val="21"/>
          <w:szCs w:val="21"/>
        </w:rPr>
        <w:t xml:space="preserve">1. Governabilidade e execução</w:t>
      </w:r>
    </w:p>
    <w:p>
      <w:pPr>
        <w:spacing w:after="20"/>
        <w:ind w:left="400"/>
      </w:pPr>
      <w:r>
        <w:rPr>
          <w:rFonts w:ascii="Arial" w:cs="Arial" w:eastAsia="Arial" w:hAnsi="Arial"/>
          <w:color w:val="1E2A30"/>
          <w:sz w:val="19"/>
          <w:szCs w:val="19"/>
        </w:rPr>
        <w:t xml:space="preserve">1.1 O ponto de partida hipotético</w:t>
      </w:r>
    </w:p>
    <w:p>
      <w:pPr>
        <w:spacing w:after="20"/>
        <w:ind w:left="400"/>
      </w:pPr>
      <w:r>
        <w:rPr>
          <w:rFonts w:ascii="Arial" w:cs="Arial" w:eastAsia="Arial" w:hAnsi="Arial"/>
          <w:color w:val="1E2A30"/>
          <w:sz w:val="19"/>
          <w:szCs w:val="19"/>
        </w:rPr>
        <w:t xml:space="preserve">1.2 Perfil ideal dos ministros</w:t>
      </w:r>
    </w:p>
    <w:p>
      <w:pPr>
        <w:spacing w:after="20"/>
        <w:ind w:left="400"/>
      </w:pPr>
      <w:r>
        <w:rPr>
          <w:rFonts w:ascii="Arial" w:cs="Arial" w:eastAsia="Arial" w:hAnsi="Arial"/>
          <w:color w:val="1E2A30"/>
          <w:sz w:val="19"/>
          <w:szCs w:val="19"/>
        </w:rPr>
        <w:t xml:space="preserve">1.3 Composição hipotética do gabinete (25 ministérios)</w:t>
      </w:r>
    </w:p>
    <w:p>
      <w:pPr>
        <w:spacing w:after="20"/>
        <w:ind w:left="400"/>
      </w:pPr>
      <w:r>
        <w:rPr>
          <w:rFonts w:ascii="Arial" w:cs="Arial" w:eastAsia="Arial" w:hAnsi="Arial"/>
          <w:color w:val="1E2A30"/>
          <w:sz w:val="19"/>
          <w:szCs w:val="19"/>
        </w:rPr>
        <w:t xml:space="preserve">1.4 Estratégia para formar base no Congresso</w:t>
      </w:r>
    </w:p>
    <w:p>
      <w:pPr>
        <w:spacing w:after="20"/>
        <w:ind w:left="400"/>
      </w:pPr>
      <w:r>
        <w:rPr>
          <w:rFonts w:ascii="Arial" w:cs="Arial" w:eastAsia="Arial" w:hAnsi="Arial"/>
          <w:color w:val="1E2A30"/>
          <w:sz w:val="19"/>
          <w:szCs w:val="19"/>
        </w:rPr>
        <w:t xml:space="preserve">1.5 Relação com governadores e prefeitos</w:t>
      </w:r>
    </w:p>
    <w:p>
      <w:pPr>
        <w:spacing w:after="20"/>
        <w:ind w:left="400"/>
      </w:pPr>
      <w:r>
        <w:rPr>
          <w:rFonts w:ascii="Arial" w:cs="Arial" w:eastAsia="Arial" w:hAnsi="Arial"/>
          <w:color w:val="1E2A30"/>
          <w:sz w:val="19"/>
          <w:szCs w:val="19"/>
        </w:rPr>
        <w:t xml:space="preserve">1.6 Relação com o STF e os demais Poderes</w:t>
      </w:r>
    </w:p>
    <w:p>
      <w:pPr>
        <w:spacing w:after="20"/>
        <w:ind w:left="400"/>
      </w:pPr>
      <w:r>
        <w:rPr>
          <w:rFonts w:ascii="Arial" w:cs="Arial" w:eastAsia="Arial" w:hAnsi="Arial"/>
          <w:color w:val="1E2A30"/>
          <w:sz w:val="19"/>
          <w:szCs w:val="19"/>
        </w:rPr>
        <w:t xml:space="preserve">1.7 Relação com empresários, trabalhadores e sociedade civil</w:t>
      </w:r>
    </w:p>
    <w:p>
      <w:pPr>
        <w:spacing w:after="20"/>
        <w:ind w:left="400"/>
      </w:pPr>
      <w:r>
        <w:rPr>
          <w:rFonts w:ascii="Arial" w:cs="Arial" w:eastAsia="Arial" w:hAnsi="Arial"/>
          <w:color w:val="1E2A30"/>
          <w:sz w:val="19"/>
          <w:szCs w:val="19"/>
        </w:rPr>
        <w:t xml:space="preserve">1.8 Negociação com a oposição</w:t>
      </w:r>
    </w:p>
    <w:p>
      <w:pPr>
        <w:spacing w:after="20"/>
        <w:ind w:left="400"/>
      </w:pPr>
      <w:r>
        <w:rPr>
          <w:rFonts w:ascii="Arial" w:cs="Arial" w:eastAsia="Arial" w:hAnsi="Arial"/>
          <w:color w:val="1E2A30"/>
          <w:sz w:val="19"/>
          <w:szCs w:val="19"/>
        </w:rPr>
        <w:t xml:space="preserve">1.9 Critérios para vetar projetos de lei</w:t>
      </w:r>
    </w:p>
    <w:p>
      <w:pPr>
        <w:spacing w:after="20"/>
        <w:ind w:left="400"/>
      </w:pPr>
      <w:r>
        <w:rPr>
          <w:rFonts w:ascii="Arial" w:cs="Arial" w:eastAsia="Arial" w:hAnsi="Arial"/>
          <w:color w:val="1E2A30"/>
          <w:sz w:val="19"/>
          <w:szCs w:val="19"/>
        </w:rPr>
        <w:t xml:space="preserve">1.10 Medidas contra corrupção dentro do governo</w:t>
      </w:r>
    </w:p>
    <w:p>
      <w:pPr>
        <w:spacing w:after="20"/>
        <w:ind w:left="400"/>
      </w:pPr>
      <w:r>
        <w:rPr>
          <w:rFonts w:ascii="Arial" w:cs="Arial" w:eastAsia="Arial" w:hAnsi="Arial"/>
          <w:color w:val="1E2A30"/>
          <w:sz w:val="19"/>
          <w:szCs w:val="19"/>
        </w:rPr>
        <w:t xml:space="preserve">1.11 Compromisso com eleições livres e alternância</w:t>
      </w:r>
    </w:p>
    <w:p>
      <w:pPr>
        <w:spacing w:after="40" w:before="100"/>
      </w:pPr>
      <w:r>
        <w:rPr>
          <w:rFonts w:ascii="Arial" w:cs="Arial" w:eastAsia="Arial" w:hAnsi="Arial"/>
          <w:b/>
          <w:bCs/>
          <w:color w:val="0F4C5C"/>
          <w:sz w:val="21"/>
          <w:szCs w:val="21"/>
        </w:rPr>
        <w:t xml:space="preserve">2. Testes de crise presidencial</w:t>
      </w:r>
    </w:p>
    <w:p>
      <w:pPr>
        <w:spacing w:after="20"/>
        <w:ind w:left="400"/>
      </w:pPr>
      <w:r>
        <w:rPr>
          <w:rFonts w:ascii="Arial" w:cs="Arial" w:eastAsia="Arial" w:hAnsi="Arial"/>
          <w:color w:val="1E2A30"/>
          <w:sz w:val="19"/>
          <w:szCs w:val="19"/>
        </w:rPr>
        <w:t xml:space="preserve">2.1 Crise A — Recessão</w:t>
      </w:r>
    </w:p>
    <w:p>
      <w:pPr>
        <w:spacing w:after="20"/>
        <w:ind w:left="400"/>
      </w:pPr>
      <w:r>
        <w:rPr>
          <w:rFonts w:ascii="Arial" w:cs="Arial" w:eastAsia="Arial" w:hAnsi="Arial"/>
          <w:color w:val="1E2A30"/>
          <w:sz w:val="19"/>
          <w:szCs w:val="19"/>
        </w:rPr>
        <w:t xml:space="preserve">2.2 Crise B — Ataques coordenados de facções em vários estados</w:t>
      </w:r>
    </w:p>
    <w:p>
      <w:pPr>
        <w:spacing w:after="20"/>
        <w:ind w:left="400"/>
      </w:pPr>
      <w:r>
        <w:rPr>
          <w:rFonts w:ascii="Arial" w:cs="Arial" w:eastAsia="Arial" w:hAnsi="Arial"/>
          <w:color w:val="1E2A30"/>
          <w:sz w:val="19"/>
          <w:szCs w:val="19"/>
        </w:rPr>
        <w:t xml:space="preserve">2.3 Crise C — Nova emergência sanitária internacional</w:t>
      </w:r>
    </w:p>
    <w:p>
      <w:pPr>
        <w:spacing w:after="20"/>
        <w:ind w:left="400"/>
      </w:pPr>
      <w:r>
        <w:rPr>
          <w:rFonts w:ascii="Arial" w:cs="Arial" w:eastAsia="Arial" w:hAnsi="Arial"/>
          <w:color w:val="1E2A30"/>
          <w:sz w:val="19"/>
          <w:szCs w:val="19"/>
        </w:rPr>
        <w:t xml:space="preserve">2.4 Crise D — Disputa EUA x China pressionando o Brasil a escolher um lado</w:t>
      </w:r>
    </w:p>
    <w:p>
      <w:pPr>
        <w:spacing w:after="20"/>
        <w:ind w:left="400"/>
      </w:pPr>
      <w:r>
        <w:rPr>
          <w:rFonts w:ascii="Arial" w:cs="Arial" w:eastAsia="Arial" w:hAnsi="Arial"/>
          <w:color w:val="1E2A30"/>
          <w:sz w:val="19"/>
          <w:szCs w:val="19"/>
        </w:rPr>
        <w:t xml:space="preserve">2.5 Crise E — Congresso rejeita uma reforma central</w:t>
      </w:r>
    </w:p>
    <w:p>
      <w:pPr>
        <w:spacing w:after="40" w:before="100"/>
      </w:pPr>
      <w:r>
        <w:rPr>
          <w:rFonts w:ascii="Arial" w:cs="Arial" w:eastAsia="Arial" w:hAnsi="Arial"/>
          <w:b/>
          <w:bCs/>
          <w:color w:val="0F4C5C"/>
          <w:sz w:val="21"/>
          <w:szCs w:val="21"/>
        </w:rPr>
        <w:t xml:space="preserve">3. Autorreflexão da candidata</w:t>
      </w:r>
    </w:p>
    <w:p>
      <w:pPr>
        <w:spacing w:after="20"/>
        <w:ind w:left="400"/>
      </w:pPr>
      <w:r>
        <w:rPr>
          <w:rFonts w:ascii="Arial" w:cs="Arial" w:eastAsia="Arial" w:hAnsi="Arial"/>
          <w:color w:val="1E2A30"/>
          <w:sz w:val="19"/>
          <w:szCs w:val="19"/>
        </w:rPr>
        <w:t xml:space="preserve">3.1 Os cinco maiores pontos fracos do programa</w:t>
      </w:r>
    </w:p>
    <w:p>
      <w:pPr>
        <w:spacing w:after="20"/>
        <w:ind w:left="400"/>
      </w:pPr>
      <w:r>
        <w:rPr>
          <w:rFonts w:ascii="Arial" w:cs="Arial" w:eastAsia="Arial" w:hAnsi="Arial"/>
          <w:color w:val="1E2A30"/>
          <w:sz w:val="19"/>
          <w:szCs w:val="19"/>
        </w:rPr>
        <w:t xml:space="preserve">3.2 Quem pode discordar e por quê</w:t>
      </w:r>
    </w:p>
    <w:p>
      <w:pPr>
        <w:spacing w:after="20"/>
        <w:ind w:left="400"/>
      </w:pPr>
      <w:r>
        <w:rPr>
          <w:rFonts w:ascii="Arial" w:cs="Arial" w:eastAsia="Arial" w:hAnsi="Arial"/>
          <w:color w:val="1E2A30"/>
          <w:sz w:val="19"/>
          <w:szCs w:val="19"/>
        </w:rPr>
        <w:t xml:space="preserve">3.3 Promessas de cumprimento mais difícil</w:t>
      </w:r>
    </w:p>
    <w:p>
      <w:pPr>
        <w:spacing w:after="20"/>
        <w:ind w:left="400"/>
      </w:pPr>
      <w:r>
        <w:rPr>
          <w:rFonts w:ascii="Arial" w:cs="Arial" w:eastAsia="Arial" w:hAnsi="Arial"/>
          <w:color w:val="1E2A30"/>
          <w:sz w:val="19"/>
          <w:szCs w:val="19"/>
        </w:rPr>
        <w:t xml:space="preserve">3.4 Propostas que poderiam produzir consequências negativas</w:t>
      </w:r>
    </w:p>
    <w:p>
      <w:pPr>
        <w:spacing w:after="20"/>
        <w:ind w:left="400"/>
      </w:pPr>
      <w:r>
        <w:rPr>
          <w:rFonts w:ascii="Arial" w:cs="Arial" w:eastAsia="Arial" w:hAnsi="Arial"/>
          <w:color w:val="1E2A30"/>
          <w:sz w:val="19"/>
          <w:szCs w:val="19"/>
        </w:rPr>
        <w:t xml:space="preserve">3.5 As três críticas mais fortes de um adversário intelectualmente honesto — e as respostas</w:t>
      </w:r>
    </w:p>
    <w:p>
      <w:pPr>
        <w:spacing w:after="20"/>
        <w:ind w:left="400"/>
      </w:pPr>
      <w:r>
        <w:rPr>
          <w:rFonts w:ascii="Arial" w:cs="Arial" w:eastAsia="Arial" w:hAnsi="Arial"/>
          <w:color w:val="1E2A30"/>
          <w:sz w:val="19"/>
          <w:szCs w:val="19"/>
        </w:rPr>
        <w:t xml:space="preserve">3.6 Evidências que fariam a candidata abandonar uma política própria</w:t>
      </w:r>
    </w:p>
    <w:p>
      <w:pPr>
        <w:spacing w:after="20"/>
        <w:ind w:left="400"/>
      </w:pPr>
      <w:r>
        <w:rPr>
          <w:rFonts w:ascii="Arial" w:cs="Arial" w:eastAsia="Arial" w:hAnsi="Arial"/>
          <w:color w:val="1E2A30"/>
          <w:sz w:val="19"/>
          <w:szCs w:val="19"/>
        </w:rPr>
        <w:t xml:space="preserve">3.7 Critério de fracasso do mandato</w:t>
      </w:r>
    </w:p>
    <w:p>
      <w:r>
        <w:br w:type="page"/>
      </w:r>
    </w:p>
    <w:p>
      <w:pPr>
        <w:pStyle w:val="Heading1"/>
      </w:pPr>
      <w:r>
        <w:rPr>
          <w:rFonts w:ascii="Arial" w:cs="Arial" w:eastAsia="Arial" w:hAnsi="Arial"/>
        </w:rPr>
        <w:t xml:space="preserve">1. Governabilidade e execução</w:t>
      </w:r>
    </w:p>
    <w:p>
      <w:pPr>
        <w:pStyle w:val="Heading2"/>
      </w:pPr>
      <w:r>
        <w:rPr>
          <w:rFonts w:ascii="Arial" w:cs="Arial" w:eastAsia="Arial" w:hAnsi="Arial"/>
        </w:rPr>
        <w:t xml:space="preserve">1.1 O ponto de partida hipotético</w:t>
      </w:r>
    </w:p>
    <w:p>
      <w:pPr>
        <w:spacing w:after="140" w:line="288"/>
        <w:jc w:val="both"/>
      </w:pPr>
      <w:r>
        <w:rPr>
          <w:rFonts w:ascii="Arial" w:cs="Arial" w:eastAsia="Arial" w:hAnsi="Arial"/>
        </w:rPr>
        <w:t xml:space="preserve">A simulação parte de uma bancada de </w:t>
      </w:r>
      <w:r>
        <w:rPr>
          <w:rFonts w:ascii="Arial" w:cs="Arial" w:eastAsia="Arial" w:hAnsi="Arial"/>
          <w:b/>
          <w:bCs/>
        </w:rPr>
        <w:t xml:space="preserve">8% das cadeiras</w:t>
      </w:r>
      <w:r>
        <w:rPr>
          <w:rFonts w:ascii="Arial" w:cs="Arial" w:eastAsia="Arial" w:hAnsi="Arial"/>
        </w:rPr>
        <w:t xml:space="preserve">: cerca de </w:t>
      </w:r>
      <w:r>
        <w:rPr>
          <w:rFonts w:ascii="Arial" w:cs="Arial" w:eastAsia="Arial" w:hAnsi="Arial"/>
          <w:b/>
          <w:bCs/>
        </w:rPr>
        <w:t xml:space="preserve">41 dos 513 deputados</w:t>
      </w:r>
      <w:r>
        <w:rPr>
          <w:rFonts w:ascii="Arial" w:cs="Arial" w:eastAsia="Arial" w:hAnsi="Arial"/>
        </w:rPr>
        <w:t xml:space="preserve"> e </w:t>
      </w:r>
      <w:r>
        <w:rPr>
          <w:rFonts w:ascii="Arial" w:cs="Arial" w:eastAsia="Arial" w:hAnsi="Arial"/>
          <w:b/>
          <w:bCs/>
        </w:rPr>
        <w:t xml:space="preserve">6 a 7 dos 81 senadores</w:t>
      </w:r>
      <w:r>
        <w:rPr>
          <w:rFonts w:ascii="Arial" w:cs="Arial" w:eastAsia="Arial" w:hAnsi="Arial"/>
        </w:rPr>
        <w:t xml:space="preserve">. Os quóruns necessários são: maioria simples para lei ordinária; </w:t>
      </w:r>
      <w:r>
        <w:rPr>
          <w:rFonts w:ascii="Arial" w:cs="Arial" w:eastAsia="Arial" w:hAnsi="Arial"/>
          <w:b/>
          <w:bCs/>
        </w:rPr>
        <w:t xml:space="preserve">257 deputados e 41 senadores</w:t>
      </w:r>
      <w:r>
        <w:rPr>
          <w:rFonts w:ascii="Arial" w:cs="Arial" w:eastAsia="Arial" w:hAnsi="Arial"/>
        </w:rPr>
        <w:t xml:space="preserve"> para lei complementar; </w:t>
      </w:r>
      <w:r>
        <w:rPr>
          <w:rFonts w:ascii="Arial" w:cs="Arial" w:eastAsia="Arial" w:hAnsi="Arial"/>
          <w:b/>
          <w:bCs/>
        </w:rPr>
        <w:t xml:space="preserve">308 deputados e 49 senadores</w:t>
      </w:r>
      <w:r>
        <w:rPr>
          <w:rFonts w:ascii="Arial" w:cs="Arial" w:eastAsia="Arial" w:hAnsi="Arial"/>
        </w:rPr>
        <w:t xml:space="preserve">, em dois turnos, para emenda constitucional. Com 8%, nenhuma reforma passa sem uma coalizão ampla. O programa foi desenhado sabendo disso: medidas do 1º dia são executivas; as legislativas são escalonadas por dificuldade e fatiadas para permitir maiorias diferentes por tema.</w:t>
      </w:r>
    </w:p>
    <w:p>
      <w:pPr>
        <w:pStyle w:val="Heading2"/>
      </w:pPr>
      <w:r>
        <w:rPr>
          <w:rFonts w:ascii="Arial" w:cs="Arial" w:eastAsia="Arial" w:hAnsi="Arial"/>
        </w:rPr>
        <w:t xml:space="preserve">1.2 Perfil ideal dos ministros</w:t>
      </w:r>
    </w:p>
    <w:p>
      <w:pPr>
        <w:tabs>
          <w:tab w:val="left" w:pos="400"/>
        </w:tabs>
        <w:spacing w:after="80"/>
        <w:ind w:left="400" w:hanging="400"/>
      </w:pPr>
      <w:r>
        <w:rPr>
          <w:rFonts w:ascii="Arial" w:cs="Arial" w:eastAsia="Arial" w:hAnsi="Arial"/>
          <w:b/>
          <w:bCs/>
          <w:color w:val="0F4C5C"/>
        </w:rPr>
        <w:t xml:space="preserve">1.	</w:t>
      </w:r>
      <w:r>
        <w:rPr>
          <w:rFonts w:ascii="Arial" w:cs="Arial" w:eastAsia="Arial" w:hAnsi="Arial"/>
        </w:rPr>
        <w:t xml:space="preserve">Experiência comprovada de gestão na área ou em área equivalente.</w:t>
      </w:r>
    </w:p>
    <w:p>
      <w:pPr>
        <w:tabs>
          <w:tab w:val="left" w:pos="400"/>
        </w:tabs>
        <w:spacing w:after="80"/>
        <w:ind w:left="400" w:hanging="400"/>
      </w:pPr>
      <w:r>
        <w:rPr>
          <w:rFonts w:ascii="Arial" w:cs="Arial" w:eastAsia="Arial" w:hAnsi="Arial"/>
          <w:b/>
          <w:bCs/>
          <w:color w:val="0F4C5C"/>
        </w:rPr>
        <w:t xml:space="preserve">2.	</w:t>
      </w:r>
      <w:r>
        <w:rPr>
          <w:rFonts w:ascii="Arial" w:cs="Arial" w:eastAsia="Arial" w:hAnsi="Arial"/>
        </w:rPr>
        <w:t xml:space="preserve">Ficha limpa, sem condenação por improbidade ou crime contra a administração em segunda instância.</w:t>
      </w:r>
    </w:p>
    <w:p>
      <w:pPr>
        <w:tabs>
          <w:tab w:val="left" w:pos="400"/>
        </w:tabs>
        <w:spacing w:after="80"/>
        <w:ind w:left="400" w:hanging="400"/>
      </w:pPr>
      <w:r>
        <w:rPr>
          <w:rFonts w:ascii="Arial" w:cs="Arial" w:eastAsia="Arial" w:hAnsi="Arial"/>
          <w:b/>
          <w:bCs/>
          <w:color w:val="0F4C5C"/>
        </w:rPr>
        <w:t xml:space="preserve">3.	</w:t>
      </w:r>
      <w:r>
        <w:rPr>
          <w:rFonts w:ascii="Arial" w:cs="Arial" w:eastAsia="Arial" w:hAnsi="Arial"/>
        </w:rPr>
        <w:t xml:space="preserve">Compromisso público com três metas mensuráveis do ministério, publicadas no 1º dia.</w:t>
      </w:r>
    </w:p>
    <w:p>
      <w:pPr>
        <w:tabs>
          <w:tab w:val="left" w:pos="400"/>
        </w:tabs>
        <w:spacing w:after="80"/>
        <w:ind w:left="400" w:hanging="400"/>
      </w:pPr>
      <w:r>
        <w:rPr>
          <w:rFonts w:ascii="Arial" w:cs="Arial" w:eastAsia="Arial" w:hAnsi="Arial"/>
          <w:b/>
          <w:bCs/>
          <w:color w:val="0F4C5C"/>
        </w:rPr>
        <w:t xml:space="preserve">4.	</w:t>
      </w:r>
      <w:r>
        <w:rPr>
          <w:rFonts w:ascii="Arial" w:cs="Arial" w:eastAsia="Arial" w:hAnsi="Arial"/>
        </w:rPr>
        <w:t xml:space="preserve">Aceitação de avaliação semestral pública e de substituição em caso de descumprimento injustificado.</w:t>
      </w:r>
    </w:p>
    <w:p>
      <w:pPr>
        <w:tabs>
          <w:tab w:val="left" w:pos="400"/>
        </w:tabs>
        <w:spacing w:after="80"/>
        <w:ind w:left="400" w:hanging="400"/>
      </w:pPr>
      <w:r>
        <w:rPr>
          <w:rFonts w:ascii="Arial" w:cs="Arial" w:eastAsia="Arial" w:hAnsi="Arial"/>
          <w:b/>
          <w:bCs/>
          <w:color w:val="0F4C5C"/>
        </w:rPr>
        <w:t xml:space="preserve">5.	</w:t>
      </w:r>
      <w:r>
        <w:rPr>
          <w:rFonts w:ascii="Arial" w:cs="Arial" w:eastAsia="Arial" w:hAnsi="Arial"/>
        </w:rPr>
        <w:t xml:space="preserve">Paridade de gênero ao longo do mandato e diversidade regional.</w:t>
      </w:r>
    </w:p>
    <w:p>
      <w:pPr>
        <w:pStyle w:val="Heading2"/>
      </w:pPr>
      <w:r>
        <w:rPr>
          <w:rFonts w:ascii="Arial" w:cs="Arial" w:eastAsia="Arial" w:hAnsi="Arial"/>
        </w:rPr>
        <w:t xml:space="preserve">1.3 Composição hipotética do gabinete (25 ministérios)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433"/>
        <w:gridCol w:w="4627"/>
      </w:tblGrid>
      <w:tr>
        <w:trPr>
          <w:cantSplit/>
          <w:tblHeader/>
        </w:trPr>
        <w:tc>
          <w:tcPr>
            <w:tcW w:type="dxa" w:w="578"/>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Nº</w:t>
            </w:r>
          </w:p>
        </w:tc>
        <w:tc>
          <w:tcPr>
            <w:tcW w:type="dxa" w:w="4433"/>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Ministério</w:t>
            </w:r>
          </w:p>
        </w:tc>
        <w:tc>
          <w:tcPr>
            <w:tcW w:type="dxa" w:w="4627"/>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Perfil e observação</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Casa Civil (inclui articulação política)</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Gestor experiente em coordenação de governo e negociação legislativa</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Fazenda</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Economista com credibilidade fiscal e experiência de gestão pública</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3</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Planejamento e Orçamento</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Especialista em orçamento público e avaliação de políticas</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4</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Gestão e Inovação em Serviços Públicos</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Especialista em governo digital e reforma administrativa</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5</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Relações Exteriores</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Diplomata de carreira</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6</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Defesa</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Civil, com experiência em política de defesa</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7</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Justiça</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Jurista com experiência em sistema de justiça e direitos fundamentais</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8</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Segurança Pública</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Gestor de segurança com resultados mensuráveis em redução de homicídios</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9</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Saúde</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Sanitarista com experiência em gestão do SUS</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10</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Educação</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Gestor de rede pública com resultados em aprendizagem</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11</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Desenvolvimento Social e Família</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Especialista em proteção social e primeira infância</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12</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Trabalho e Previdência (fusão)</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Especialista em mercado de trabalho e previdência</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13</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Desenvolvimento, Indústria, Comércio e Serviços</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Perfil com trânsito no setor produtivo e em comércio exterior</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14</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Agricultura e Desenvolvimento Agrário (fusão)</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Agrônomo com experiência em agricultura de alta produtividade e agricultura familiar</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15</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Meio Ambiente e Clima</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Especialista em fiscalização ambiental e bioeconomia</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16</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Minas e Energia</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Engenheiro com experiência em regulação energética</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17</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Infraestrutura e Transportes (fusão de Transportes, Portos e Aeroportos)</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Especialista em concessões</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18</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Cidades e Desenvolvimento Regional (fusão)</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Especialista em saneamento e habitação</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19</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Ciência, Tecnologia, Inovação e Comunicações (fusão)</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Cientista com experiência em gestão de C&amp;T</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20</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Cultura, Turismo e Esporte (fusão)</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Gestor cultural com experiência em economia criativa</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21</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Direitos Humanos, Igualdade Racial e Povos Indígenas (fusão)</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Liderança com histórico em direitos humanos</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22</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Mulheres</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Especialista em enfrentamento à violência contra a mulher</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23</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Controladoria-Geral da União</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Auditor de carreira</w:t>
            </w:r>
          </w:p>
        </w:tc>
      </w:tr>
      <w:tr>
        <w:trPr>
          <w:cantSplit/>
          <w:tblHeader w:val="off"/>
        </w:trPr>
        <w:tc>
          <w:tcPr>
            <w:tcW w:type="dxa" w:w="57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24</w:t>
            </w:r>
          </w:p>
        </w:tc>
        <w:tc>
          <w:tcPr>
            <w:tcW w:type="dxa" w:w="4433"/>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Advocacia-Geral da União</w:t>
            </w:r>
          </w:p>
        </w:tc>
        <w:tc>
          <w:tcPr>
            <w:tcW w:type="dxa" w:w="462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Advogado público de carreira</w:t>
            </w:r>
          </w:p>
        </w:tc>
      </w:tr>
      <w:tr>
        <w:trPr>
          <w:cantSplit/>
          <w:tblHeader w:val="off"/>
        </w:trPr>
        <w:tc>
          <w:tcPr>
            <w:tcW w:type="dxa" w:w="57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25</w:t>
            </w:r>
          </w:p>
        </w:tc>
        <w:tc>
          <w:tcPr>
            <w:tcW w:type="dxa" w:w="4433"/>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Gabinete de Segurança Institucional</w:t>
            </w:r>
          </w:p>
        </w:tc>
        <w:tc>
          <w:tcPr>
            <w:tcW w:type="dxa" w:w="462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Titular civil ou militar da reserva, com foco em inteligência e segurança cibernética</w:t>
            </w:r>
          </w:p>
        </w:tc>
      </w:tr>
    </w:tbl>
    <w:p>
      <w:pPr>
        <w:spacing w:after="120"/>
      </w:pPr>
    </w:p>
    <w:p>
      <w:pPr>
        <w:spacing w:after="140" w:line="288"/>
        <w:jc w:val="both"/>
      </w:pPr>
      <w:r>
        <w:rPr>
          <w:rFonts w:ascii="Arial" w:cs="Arial" w:eastAsia="Arial" w:hAnsi="Arial"/>
          <w:b/>
          <w:bCs/>
        </w:rPr>
        <w:t xml:space="preserve">Distribuição política.</w:t>
      </w:r>
      <w:r>
        <w:rPr>
          <w:rFonts w:ascii="Arial" w:cs="Arial" w:eastAsia="Arial" w:hAnsi="Arial"/>
        </w:rPr>
        <w:t xml:space="preserve"> Até 10 ministérios poderão ser ocupados por indicações de partidos aliados, desde que os nomes cumpram os requisitos técnicos e o partido assine o Pacto de Governo. Fazenda, Planejamento, Casa Civil, CGU, AGU, Relações Exteriores, Defesa e Segurança Pública serão de escolha pessoal da presidente.</w:t>
      </w:r>
    </w:p>
    <w:p>
      <w:pPr>
        <w:pStyle w:val="Heading2"/>
      </w:pPr>
      <w:r>
        <w:rPr>
          <w:rFonts w:ascii="Arial" w:cs="Arial" w:eastAsia="Arial" w:hAnsi="Arial"/>
        </w:rPr>
        <w:t xml:space="preserve">1.4 Estratégia para formar base no Congresso</w:t>
      </w:r>
    </w:p>
    <w:p>
      <w:pPr>
        <w:tabs>
          <w:tab w:val="left" w:pos="400"/>
        </w:tabs>
        <w:spacing w:after="80"/>
        <w:ind w:left="400" w:hanging="400"/>
      </w:pPr>
      <w:r>
        <w:rPr>
          <w:rFonts w:ascii="Arial" w:cs="Arial" w:eastAsia="Arial" w:hAnsi="Arial"/>
          <w:b/>
          <w:bCs/>
          <w:color w:val="0F4C5C"/>
        </w:rPr>
        <w:t xml:space="preserve">1.	</w:t>
      </w:r>
      <w:r>
        <w:rPr>
          <w:rFonts w:ascii="Arial" w:cs="Arial" w:eastAsia="Arial" w:hAnsi="Arial"/>
          <w:b/>
          <w:bCs/>
        </w:rPr>
        <w:t xml:space="preserve">Pacto de Governo escrito e público</w:t>
      </w:r>
      <w:r>
        <w:rPr>
          <w:rFonts w:ascii="Arial" w:cs="Arial" w:eastAsia="Arial" w:hAnsi="Arial"/>
        </w:rPr>
        <w:t xml:space="preserve"> (Eixo 20.3): agenda legislativa, compromissos de votação por tema e critérios de cargos, publicado na internet.</w:t>
      </w:r>
    </w:p>
    <w:p>
      <w:pPr>
        <w:tabs>
          <w:tab w:val="left" w:pos="400"/>
        </w:tabs>
        <w:spacing w:after="80"/>
        <w:ind w:left="400" w:hanging="400"/>
      </w:pPr>
      <w:r>
        <w:rPr>
          <w:rFonts w:ascii="Arial" w:cs="Arial" w:eastAsia="Arial" w:hAnsi="Arial"/>
          <w:b/>
          <w:bCs/>
          <w:color w:val="0F4C5C"/>
        </w:rPr>
        <w:t xml:space="preserve">2.	</w:t>
      </w:r>
      <w:r>
        <w:rPr>
          <w:rFonts w:ascii="Arial" w:cs="Arial" w:eastAsia="Arial" w:hAnsi="Arial"/>
          <w:b/>
          <w:bCs/>
        </w:rPr>
        <w:t xml:space="preserve">Coalizões por tema.</w:t>
      </w:r>
      <w:r>
        <w:rPr>
          <w:rFonts w:ascii="Arial" w:cs="Arial" w:eastAsia="Arial" w:hAnsi="Arial"/>
        </w:rPr>
        <w:t xml:space="preserve"> Agenda fiscal com partidos de centro e centro-direita; agenda de primeira infância, alfabetização e direitos com partidos de centro e centro-esquerda; agenda de segurança com bancadas amplas.</w:t>
      </w:r>
    </w:p>
    <w:p>
      <w:pPr>
        <w:tabs>
          <w:tab w:val="left" w:pos="400"/>
        </w:tabs>
        <w:spacing w:after="80"/>
        <w:ind w:left="400" w:hanging="400"/>
      </w:pPr>
      <w:r>
        <w:rPr>
          <w:rFonts w:ascii="Arial" w:cs="Arial" w:eastAsia="Arial" w:hAnsi="Arial"/>
          <w:b/>
          <w:bCs/>
          <w:color w:val="0F4C5C"/>
        </w:rPr>
        <w:t xml:space="preserve">3.	</w:t>
      </w:r>
      <w:r>
        <w:rPr>
          <w:rFonts w:ascii="Arial" w:cs="Arial" w:eastAsia="Arial" w:hAnsi="Arial"/>
          <w:b/>
          <w:bCs/>
        </w:rPr>
        <w:t xml:space="preserve">Ordem estratégica.</w:t>
      </w:r>
      <w:r>
        <w:rPr>
          <w:rFonts w:ascii="Arial" w:cs="Arial" w:eastAsia="Arial" w:hAnsi="Arial"/>
        </w:rPr>
        <w:t xml:space="preserve"> Primeiro as medidas de maior apoio (ANCO, Fila Pública, Esplanada, presídios), depois as de custo concentrado (renúncias, emendas).</w:t>
      </w:r>
    </w:p>
    <w:p>
      <w:pPr>
        <w:tabs>
          <w:tab w:val="left" w:pos="400"/>
        </w:tabs>
        <w:spacing w:after="80"/>
        <w:ind w:left="400" w:hanging="400"/>
      </w:pPr>
      <w:r>
        <w:rPr>
          <w:rFonts w:ascii="Arial" w:cs="Arial" w:eastAsia="Arial" w:hAnsi="Arial"/>
          <w:b/>
          <w:bCs/>
          <w:color w:val="0F4C5C"/>
        </w:rPr>
        <w:t xml:space="preserve">4.	</w:t>
      </w:r>
      <w:r>
        <w:rPr>
          <w:rFonts w:ascii="Arial" w:cs="Arial" w:eastAsia="Arial" w:hAnsi="Arial"/>
          <w:b/>
          <w:bCs/>
        </w:rPr>
        <w:t xml:space="preserve">Fatiamento.</w:t>
      </w:r>
      <w:r>
        <w:rPr>
          <w:rFonts w:ascii="Arial" w:cs="Arial" w:eastAsia="Arial" w:hAnsi="Arial"/>
        </w:rPr>
        <w:t xml:space="preserve"> O corte de renúncias será votado setor a setor, tornando visível quem defende cada benefício.</w:t>
      </w:r>
    </w:p>
    <w:p>
      <w:pPr>
        <w:tabs>
          <w:tab w:val="left" w:pos="400"/>
        </w:tabs>
        <w:spacing w:after="80"/>
        <w:ind w:left="400" w:hanging="400"/>
      </w:pPr>
      <w:r>
        <w:rPr>
          <w:rFonts w:ascii="Arial" w:cs="Arial" w:eastAsia="Arial" w:hAnsi="Arial"/>
          <w:b/>
          <w:bCs/>
          <w:color w:val="0F4C5C"/>
        </w:rPr>
        <w:t xml:space="preserve">5.	</w:t>
      </w:r>
      <w:r>
        <w:rPr>
          <w:rFonts w:ascii="Arial" w:cs="Arial" w:eastAsia="Arial" w:hAnsi="Arial"/>
          <w:b/>
          <w:bCs/>
        </w:rPr>
        <w:t xml:space="preserve">Capital político do início do mandato.</w:t>
      </w:r>
      <w:r>
        <w:rPr>
          <w:rFonts w:ascii="Arial" w:cs="Arial" w:eastAsia="Arial" w:hAnsi="Arial"/>
        </w:rPr>
        <w:t xml:space="preserve"> Envio do pacote fiscal em 60 dias, quando a legitimidade eleitoral é maior.</w:t>
      </w:r>
    </w:p>
    <w:p>
      <w:pPr>
        <w:tabs>
          <w:tab w:val="left" w:pos="400"/>
        </w:tabs>
        <w:spacing w:after="80"/>
        <w:ind w:left="400" w:hanging="400"/>
      </w:pPr>
      <w:r>
        <w:rPr>
          <w:rFonts w:ascii="Arial" w:cs="Arial" w:eastAsia="Arial" w:hAnsi="Arial"/>
          <w:b/>
          <w:bCs/>
          <w:color w:val="0F4C5C"/>
        </w:rPr>
        <w:t xml:space="preserve">6.	</w:t>
      </w:r>
      <w:r>
        <w:rPr>
          <w:rFonts w:ascii="Arial" w:cs="Arial" w:eastAsia="Arial" w:hAnsi="Arial"/>
          <w:b/>
          <w:bCs/>
        </w:rPr>
        <w:t xml:space="preserve">Emendas.</w:t>
      </w:r>
      <w:r>
        <w:rPr>
          <w:rFonts w:ascii="Arial" w:cs="Arial" w:eastAsia="Arial" w:hAnsi="Arial"/>
        </w:rPr>
        <w:t xml:space="preserve"> O governo executará as emendas impositivas como a Constituição determina, sem usá-las como moeda de troca adicional, e defenderá publicamente seu teto e rastreabilidade.</w:t>
      </w:r>
    </w:p>
    <w:p>
      <w:pPr>
        <w:pStyle w:val="Heading2"/>
      </w:pPr>
      <w:r>
        <w:rPr>
          <w:rFonts w:ascii="Arial" w:cs="Arial" w:eastAsia="Arial" w:hAnsi="Arial"/>
        </w:rPr>
        <w:t xml:space="preserve">1.5 Relação com governadores e prefeitos</w:t>
      </w:r>
    </w:p>
    <w:p>
      <w:pPr>
        <w:pStyle w:val="ListParagraph"/>
        <w:numPr>
          <w:ilvl w:val="0"/>
          <w:numId w:val="2"/>
        </w:numPr>
        <w:spacing w:after="60"/>
      </w:pPr>
      <w:r>
        <w:rPr>
          <w:rFonts w:ascii="Arial" w:cs="Arial" w:eastAsia="Arial" w:hAnsi="Arial"/>
        </w:rPr>
        <w:t xml:space="preserve">Contratos de gestão com metas em segurança, alfabetização, saúde e saneamento; repasses voluntários condicionados a resultados e transparência.</w:t>
      </w:r>
    </w:p>
    <w:p>
      <w:pPr>
        <w:pStyle w:val="ListParagraph"/>
        <w:numPr>
          <w:ilvl w:val="0"/>
          <w:numId w:val="2"/>
        </w:numPr>
        <w:spacing w:after="60"/>
      </w:pPr>
      <w:r>
        <w:rPr>
          <w:rFonts w:ascii="Arial" w:cs="Arial" w:eastAsia="Arial" w:hAnsi="Arial"/>
        </w:rPr>
        <w:t xml:space="preserve">Fórum federativo trimestral com governadores e frentes de prefeitos.</w:t>
      </w:r>
    </w:p>
    <w:p>
      <w:pPr>
        <w:pStyle w:val="ListParagraph"/>
        <w:numPr>
          <w:ilvl w:val="0"/>
          <w:numId w:val="2"/>
        </w:numPr>
        <w:spacing w:after="60"/>
      </w:pPr>
      <w:r>
        <w:rPr>
          <w:rFonts w:ascii="Arial" w:cs="Arial" w:eastAsia="Arial" w:hAnsi="Arial"/>
        </w:rPr>
        <w:t xml:space="preserve">Nenhuma discriminação por partido: critérios técnicos públicos para transferências.</w:t>
      </w:r>
    </w:p>
    <w:p>
      <w:pPr>
        <w:pStyle w:val="Heading2"/>
      </w:pPr>
      <w:r>
        <w:rPr>
          <w:rFonts w:ascii="Arial" w:cs="Arial" w:eastAsia="Arial" w:hAnsi="Arial"/>
        </w:rPr>
        <w:t xml:space="preserve">1.6 Relação com o STF e os demais Poderes</w:t>
      </w:r>
    </w:p>
    <w:p>
      <w:pPr>
        <w:spacing w:after="140" w:line="288"/>
        <w:jc w:val="both"/>
      </w:pPr>
      <w:r>
        <w:rPr>
          <w:rFonts w:ascii="Arial" w:cs="Arial" w:eastAsia="Arial" w:hAnsi="Arial"/>
        </w:rPr>
        <w:t xml:space="preserve">Respeito integral às decisões judiciais; divergências expressas por recursos e projetos de lei, nunca por ataques. Diálogo institucional sobre temas como decisões monocráticas por meio de propostas ao Congresso. Indicações ao STF com critérios públicos de notório saber jurídico, reputação ilibada e independência, com sabatina transparente.</w:t>
      </w:r>
    </w:p>
    <w:p>
      <w:pPr>
        <w:pStyle w:val="Heading2"/>
      </w:pPr>
      <w:r>
        <w:rPr>
          <w:rFonts w:ascii="Arial" w:cs="Arial" w:eastAsia="Arial" w:hAnsi="Arial"/>
        </w:rPr>
        <w:t xml:space="preserve">1.7 Relação com empresários, trabalhadores e sociedade civil</w:t>
      </w:r>
    </w:p>
    <w:p>
      <w:pPr>
        <w:spacing w:after="140" w:line="288"/>
        <w:jc w:val="both"/>
      </w:pPr>
      <w:r>
        <w:rPr>
          <w:rFonts w:ascii="Arial" w:cs="Arial" w:eastAsia="Arial" w:hAnsi="Arial"/>
        </w:rPr>
        <w:t xml:space="preserve">Conselho de Desenvolvimento Econômico e Social com representação equilibrada de empresas, sindicatos, academia e sociedade civil; agenda pública de reuniões com grupos de interesse; registro de lobby. Negociação tripartite para a transição da jornada de 40 horas.</w:t>
      </w:r>
    </w:p>
    <w:p>
      <w:pPr>
        <w:pStyle w:val="Heading2"/>
      </w:pPr>
      <w:r>
        <w:rPr>
          <w:rFonts w:ascii="Arial" w:cs="Arial" w:eastAsia="Arial" w:hAnsi="Arial"/>
        </w:rPr>
        <w:t xml:space="preserve">1.8 Negociação com a oposição</w:t>
      </w:r>
    </w:p>
    <w:p>
      <w:pPr>
        <w:spacing w:after="140" w:line="288"/>
        <w:jc w:val="both"/>
      </w:pPr>
      <w:r>
        <w:rPr>
          <w:rFonts w:ascii="Arial" w:cs="Arial" w:eastAsia="Arial" w:hAnsi="Arial"/>
        </w:rPr>
        <w:t xml:space="preserve">Reunião semestral com líderes da oposição; compartilhamento antecipado de projetos estruturais; aceitação de emendas que melhorem a qualidade técnica; reconhecimento público de votos favoráveis da oposição.</w:t>
      </w:r>
    </w:p>
    <w:p>
      <w:pPr>
        <w:pStyle w:val="Heading2"/>
      </w:pPr>
      <w:r>
        <w:rPr>
          <w:rFonts w:ascii="Arial" w:cs="Arial" w:eastAsia="Arial" w:hAnsi="Arial"/>
        </w:rPr>
        <w:t xml:space="preserve">1.9 Critérios para vetar projetos de lei</w:t>
      </w:r>
    </w:p>
    <w:p>
      <w:pPr>
        <w:tabs>
          <w:tab w:val="left" w:pos="400"/>
        </w:tabs>
        <w:spacing w:after="80"/>
        <w:ind w:left="400" w:hanging="400"/>
      </w:pPr>
      <w:r>
        <w:rPr>
          <w:rFonts w:ascii="Arial" w:cs="Arial" w:eastAsia="Arial" w:hAnsi="Arial"/>
          <w:b/>
          <w:bCs/>
          <w:color w:val="0F4C5C"/>
        </w:rPr>
        <w:t xml:space="preserve">1.	</w:t>
      </w:r>
      <w:r>
        <w:rPr>
          <w:rFonts w:ascii="Arial" w:cs="Arial" w:eastAsia="Arial" w:hAnsi="Arial"/>
        </w:rPr>
        <w:t xml:space="preserve">Inconstitucionalidade.</w:t>
      </w:r>
    </w:p>
    <w:p>
      <w:pPr>
        <w:tabs>
          <w:tab w:val="left" w:pos="400"/>
        </w:tabs>
        <w:spacing w:after="80"/>
        <w:ind w:left="400" w:hanging="400"/>
      </w:pPr>
      <w:r>
        <w:rPr>
          <w:rFonts w:ascii="Arial" w:cs="Arial" w:eastAsia="Arial" w:hAnsi="Arial"/>
          <w:b/>
          <w:bCs/>
          <w:color w:val="0F4C5C"/>
        </w:rPr>
        <w:t xml:space="preserve">2.	</w:t>
      </w:r>
      <w:r>
        <w:rPr>
          <w:rFonts w:ascii="Arial" w:cs="Arial" w:eastAsia="Arial" w:hAnsi="Arial"/>
        </w:rPr>
        <w:t xml:space="preserve">Criação de despesa ou renúncia sem compensação (Lei de Responsabilidade Fiscal e art. 113 do ADCT).</w:t>
      </w:r>
    </w:p>
    <w:p>
      <w:pPr>
        <w:tabs>
          <w:tab w:val="left" w:pos="400"/>
        </w:tabs>
        <w:spacing w:after="80"/>
        <w:ind w:left="400" w:hanging="400"/>
      </w:pPr>
      <w:r>
        <w:rPr>
          <w:rFonts w:ascii="Arial" w:cs="Arial" w:eastAsia="Arial" w:hAnsi="Arial"/>
          <w:b/>
          <w:bCs/>
          <w:color w:val="0F4C5C"/>
        </w:rPr>
        <w:t xml:space="preserve">3.	</w:t>
      </w:r>
      <w:r>
        <w:rPr>
          <w:rFonts w:ascii="Arial" w:cs="Arial" w:eastAsia="Arial" w:hAnsi="Arial"/>
        </w:rPr>
        <w:t xml:space="preserve">Novos regimes especiais ou exceções na CBS/IBS.</w:t>
      </w:r>
    </w:p>
    <w:p>
      <w:pPr>
        <w:tabs>
          <w:tab w:val="left" w:pos="400"/>
        </w:tabs>
        <w:spacing w:after="80"/>
        <w:ind w:left="400" w:hanging="400"/>
      </w:pPr>
      <w:r>
        <w:rPr>
          <w:rFonts w:ascii="Arial" w:cs="Arial" w:eastAsia="Arial" w:hAnsi="Arial"/>
          <w:b/>
          <w:bCs/>
          <w:color w:val="0F4C5C"/>
        </w:rPr>
        <w:t xml:space="preserve">4.	</w:t>
      </w:r>
      <w:r>
        <w:rPr>
          <w:rFonts w:ascii="Arial" w:cs="Arial" w:eastAsia="Arial" w:hAnsi="Arial"/>
        </w:rPr>
        <w:t xml:space="preserve">Restrição a direitos fundamentais ou censura prévia.</w:t>
      </w:r>
    </w:p>
    <w:p>
      <w:pPr>
        <w:tabs>
          <w:tab w:val="left" w:pos="400"/>
        </w:tabs>
        <w:spacing w:after="80"/>
        <w:ind w:left="400" w:hanging="400"/>
      </w:pPr>
      <w:r>
        <w:rPr>
          <w:rFonts w:ascii="Arial" w:cs="Arial" w:eastAsia="Arial" w:hAnsi="Arial"/>
          <w:b/>
          <w:bCs/>
          <w:color w:val="0F4C5C"/>
        </w:rPr>
        <w:t xml:space="preserve">5.	</w:t>
      </w:r>
      <w:r>
        <w:rPr>
          <w:rFonts w:ascii="Arial" w:cs="Arial" w:eastAsia="Arial" w:hAnsi="Arial"/>
        </w:rPr>
        <w:t xml:space="preserve">Benefício concentrado a setor específico sem avaliação de impacto.</w:t>
      </w:r>
    </w:p>
    <w:p>
      <w:pPr>
        <w:pStyle w:val="Heading2"/>
      </w:pPr>
      <w:r>
        <w:rPr>
          <w:rFonts w:ascii="Arial" w:cs="Arial" w:eastAsia="Arial" w:hAnsi="Arial"/>
        </w:rPr>
        <w:t xml:space="preserve">1.10 Medidas contra corrupção dentro do governo</w:t>
      </w:r>
    </w:p>
    <w:p>
      <w:pPr>
        <w:pStyle w:val="ListParagraph"/>
        <w:numPr>
          <w:ilvl w:val="0"/>
          <w:numId w:val="2"/>
        </w:numPr>
        <w:spacing w:after="60"/>
      </w:pPr>
      <w:r>
        <w:rPr>
          <w:rFonts w:ascii="Arial" w:cs="Arial" w:eastAsia="Arial" w:hAnsi="Arial"/>
        </w:rPr>
        <w:t xml:space="preserve">Afastamento imediato de ministro ou dirigente formalmente denunciado por corrupção.</w:t>
      </w:r>
    </w:p>
    <w:p>
      <w:pPr>
        <w:pStyle w:val="ListParagraph"/>
        <w:numPr>
          <w:ilvl w:val="0"/>
          <w:numId w:val="2"/>
        </w:numPr>
        <w:spacing w:after="60"/>
      </w:pPr>
      <w:r>
        <w:rPr>
          <w:rFonts w:ascii="Arial" w:cs="Arial" w:eastAsia="Arial" w:hAnsi="Arial"/>
        </w:rPr>
        <w:t xml:space="preserve">CGU com auditoria preventiva em contratos acima de R$ 50 milhões.</w:t>
      </w:r>
    </w:p>
    <w:p>
      <w:pPr>
        <w:pStyle w:val="ListParagraph"/>
        <w:numPr>
          <w:ilvl w:val="0"/>
          <w:numId w:val="2"/>
        </w:numPr>
        <w:spacing w:after="60"/>
      </w:pPr>
      <w:r>
        <w:rPr>
          <w:rFonts w:ascii="Arial" w:cs="Arial" w:eastAsia="Arial" w:hAnsi="Arial"/>
        </w:rPr>
        <w:t xml:space="preserve">Agenda pública diária, registro de lobby e publicação de contratos em formato aberto.</w:t>
      </w:r>
    </w:p>
    <w:p>
      <w:pPr>
        <w:pStyle w:val="ListParagraph"/>
        <w:numPr>
          <w:ilvl w:val="0"/>
          <w:numId w:val="2"/>
        </w:numPr>
        <w:spacing w:after="60"/>
      </w:pPr>
      <w:r>
        <w:rPr>
          <w:rFonts w:ascii="Arial" w:cs="Arial" w:eastAsia="Arial" w:hAnsi="Arial"/>
        </w:rPr>
        <w:t xml:space="preserve">Proibição de nepotismo cruzado e quarentena de dois anos para dirigentes de agências reguladoras.</w:t>
      </w:r>
    </w:p>
    <w:p>
      <w:pPr>
        <w:pStyle w:val="ListParagraph"/>
        <w:numPr>
          <w:ilvl w:val="0"/>
          <w:numId w:val="2"/>
        </w:numPr>
        <w:spacing w:after="60"/>
      </w:pPr>
      <w:r>
        <w:rPr>
          <w:rFonts w:ascii="Arial" w:cs="Arial" w:eastAsia="Arial" w:hAnsi="Arial"/>
        </w:rPr>
        <w:t xml:space="preserve">Canal de denúncia protegido para servidores.</w:t>
      </w:r>
    </w:p>
    <w:p>
      <w:pPr>
        <w:pStyle w:val="Heading2"/>
      </w:pPr>
      <w:r>
        <w:rPr>
          <w:rFonts w:ascii="Arial" w:cs="Arial" w:eastAsia="Arial" w:hAnsi="Arial"/>
        </w:rPr>
        <w:t xml:space="preserve">1.11 Compromisso com eleições livres e alternância</w:t>
      </w:r>
    </w:p>
    <w:p>
      <w:pPr>
        <w:spacing w:after="140" w:line="288"/>
        <w:jc w:val="both"/>
      </w:pPr>
      <w:r>
        <w:rPr>
          <w:rFonts w:ascii="Arial" w:cs="Arial" w:eastAsia="Arial" w:hAnsi="Arial"/>
        </w:rPr>
        <w:t xml:space="preserve">A candidata se compromete a reconhecer o resultado das eleições, a não propor reeleição para mandatos subsequentes ao de 2027–2030 caso seja eleita e a apoiar o fim da reeleição para cargos do Executivo a partir de 2034, com mandato de cinco anos, por emenda constitucional.</w:t>
      </w:r>
    </w:p>
    <w:p>
      <w:pPr>
        <w:pStyle w:val="Heading1"/>
      </w:pPr>
      <w:r>
        <w:rPr>
          <w:rFonts w:ascii="Arial" w:cs="Arial" w:eastAsia="Arial" w:hAnsi="Arial"/>
        </w:rPr>
        <w:t xml:space="preserve">2. Testes de crise presidencial</w:t>
      </w:r>
    </w:p>
    <w:p>
      <w:pPr>
        <w:pStyle w:val="Heading2"/>
      </w:pPr>
      <w:r>
        <w:rPr>
          <w:rFonts w:ascii="Arial" w:cs="Arial" w:eastAsia="Arial" w:hAnsi="Arial"/>
        </w:rPr>
        <w:t xml:space="preserve">2.1 Crise A — Recessão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Horizonte</w:t>
            </w:r>
          </w:p>
        </w:tc>
        <w:tc>
          <w:tcPr>
            <w:tcW w:type="dxa" w:w="8096"/>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Decisões</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24 horas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Pronunciamento sobre o diagnóstico e as medidas; reunião do Conselho de Política Econômica; garantia de que programas sociais, seguro-desemprego e Bolsa Família não terão corte</w:t>
            </w:r>
          </w:p>
        </w:tc>
      </w:tr>
      <w:tr>
        <w:trPr>
          <w:cantSplit/>
          <w:tblHeader w:val="off"/>
        </w:trPr>
        <w:tc>
          <w:tcPr>
            <w:tcW w:type="dxa" w:w="1542"/>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30 dias</w:t>
            </w:r>
          </w:p>
        </w:tc>
        <w:tc>
          <w:tcPr>
            <w:tcW w:type="dxa" w:w="8096"/>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Acionar estabilizadores automáticos sem mudar as metas de médio prazo; antecipar leilões de concessão já modelados; ampliar crédito do BNDES para capital de giro de pequenas empresas com garantia de fundos existentes; acelerar obras retomadas no programa Obra Parada Zero; pedir ao Congresso o uso da cláusula de escape do arcabouço apenas se a recessão for severa e com prazo definido</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6 meses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Programa temporário de requalificação com bolsa; reforço do seguro-desemprego para setores mais atingidos; manutenção da agenda de reformas estruturais com calendário reajustado; prestação de contas mensal</w:t>
            </w:r>
          </w:p>
        </w:tc>
      </w:tr>
    </w:tbl>
    <w:p>
      <w:pPr>
        <w:spacing w:after="120"/>
      </w:pPr>
    </w:p>
    <w:p>
      <w:pPr>
        <w:pStyle w:val="Heading2"/>
      </w:pPr>
      <w:r>
        <w:rPr>
          <w:rFonts w:ascii="Arial" w:cs="Arial" w:eastAsia="Arial" w:hAnsi="Arial"/>
        </w:rPr>
        <w:t xml:space="preserve">2.2 Crise B — Ataques coordenados de facções em vários estados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Horizonte</w:t>
            </w:r>
          </w:p>
        </w:tc>
        <w:tc>
          <w:tcPr>
            <w:tcW w:type="dxa" w:w="8096"/>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Decisões</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24 horas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Gabinete de crise com governadores dos estados atingidos; oferta imediata de Força Nacional, PF e PRF; transferência de lideranças identificadas para presídios federais com autorização judicial; bloqueio financeiro emergencial de contas ligadas às facções (Coaf e Judiciário)</w:t>
            </w:r>
          </w:p>
        </w:tc>
      </w:tr>
      <w:tr>
        <w:trPr>
          <w:cantSplit/>
          <w:tblHeader w:val="off"/>
        </w:trPr>
        <w:tc>
          <w:tcPr>
            <w:tcW w:type="dxa" w:w="1542"/>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30 dias</w:t>
            </w:r>
          </w:p>
        </w:tc>
        <w:tc>
          <w:tcPr>
            <w:tcW w:type="dxa" w:w="8096"/>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Forças-tarefa da ANCO por facção; operações contra lavagem em combustíveis, fintechs e apostas; isolamento de comunicação nos presídios; garantia da lei e da ordem (GLO) apenas se solicitada por governador e com prazo e território definidos, como prevê a Constituição</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6 meses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Asfixia financeira sistemática; leilão de ativos confiscados; ampliação de vagas em presídios federais; avaliação pública dos resultados e das mortes em operações, com câmeras corporais obrigatórias</w:t>
            </w:r>
          </w:p>
        </w:tc>
      </w:tr>
    </w:tbl>
    <w:p>
      <w:pPr>
        <w:spacing w:after="120"/>
      </w:pPr>
    </w:p>
    <w:p>
      <w:pPr>
        <w:pStyle w:val="Heading2"/>
      </w:pPr>
      <w:r>
        <w:rPr>
          <w:rFonts w:ascii="Arial" w:cs="Arial" w:eastAsia="Arial" w:hAnsi="Arial"/>
        </w:rPr>
        <w:t xml:space="preserve">2.3 Crise C — Nova emergência sanitária internacional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Horizonte</w:t>
            </w:r>
          </w:p>
        </w:tc>
        <w:tc>
          <w:tcPr>
            <w:tcW w:type="dxa" w:w="8096"/>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Decisões</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24 horas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Comitê de crise com Ministério da Saúde, Anvisa, Fiocruz, Butantan e secretários estaduais; comunicação baseada em evidência, por porta-voz técnico; vigilância reforçada em portos e aeroportos</w:t>
            </w:r>
          </w:p>
        </w:tc>
      </w:tr>
      <w:tr>
        <w:trPr>
          <w:cantSplit/>
          <w:tblHeader w:val="off"/>
        </w:trPr>
        <w:tc>
          <w:tcPr>
            <w:tcW w:type="dxa" w:w="1542"/>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30 dias</w:t>
            </w:r>
          </w:p>
        </w:tc>
        <w:tc>
          <w:tcPr>
            <w:tcW w:type="dxa" w:w="8096"/>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Compras antecipadas de insumos e testes; contratos de transferência de tecnologia para produção nacional de vacinas; reserva de leitos via contratação privada complementar; protocolos de proteção a trabalhadores de saúde</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6 meses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Vacinação em massa via SUS; apoio temporário de renda para trabalhadores afetados por restrições sanitárias; avaliação independente da resposta; zero desinformação oficial</w:t>
            </w:r>
          </w:p>
        </w:tc>
      </w:tr>
    </w:tbl>
    <w:p>
      <w:pPr>
        <w:spacing w:after="120"/>
      </w:pPr>
    </w:p>
    <w:p>
      <w:pPr>
        <w:pStyle w:val="Heading2"/>
      </w:pPr>
      <w:r>
        <w:rPr>
          <w:rFonts w:ascii="Arial" w:cs="Arial" w:eastAsia="Arial" w:hAnsi="Arial"/>
        </w:rPr>
        <w:t xml:space="preserve">2.4 Crise D — Disputa EUA x China pressionando o Brasil a escolher um 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Horizonte</w:t>
            </w:r>
          </w:p>
        </w:tc>
        <w:tc>
          <w:tcPr>
            <w:tcW w:type="dxa" w:w="8096"/>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Decisões</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24 horas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Nota do Itamaraty: o Brasil não aderirá a blocos e seguirá regras multilaterais; contato direto com Washington e Pequim</w:t>
            </w:r>
          </w:p>
        </w:tc>
      </w:tr>
      <w:tr>
        <w:trPr>
          <w:cantSplit/>
          <w:tblHeader w:val="off"/>
        </w:trPr>
        <w:tc>
          <w:tcPr>
            <w:tcW w:type="dxa" w:w="1542"/>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30 dias</w:t>
            </w:r>
          </w:p>
        </w:tc>
        <w:tc>
          <w:tcPr>
            <w:tcW w:type="dxa" w:w="8096"/>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Mapear vulnerabilidades (fertilizantes, semicondutores, mercados de soja e minério); acelerar diversificação de mercados (UE, Índia, Sudeste Asiático, Oriente Médio); aplicar a lei de triagem de investimentos de forma igual a todos; buscar coordenação com outros países médios (Índia, Indonésia, México, África do Sul)</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6 meses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Acordos de fornecimento alternativos; reforço de estoques estratégicos de insumos; propostas na OMC; o Brasil não aceitará restrições extraterritoriais a seu comércio legítimo, mas cumprirá regras de controle de exportação de tecnologias sensíveis acordadas multilateralmente</w:t>
            </w:r>
          </w:p>
        </w:tc>
      </w:tr>
    </w:tbl>
    <w:p>
      <w:pPr>
        <w:spacing w:after="120"/>
      </w:pPr>
    </w:p>
    <w:p>
      <w:pPr>
        <w:pStyle w:val="Heading2"/>
      </w:pPr>
      <w:r>
        <w:rPr>
          <w:rFonts w:ascii="Arial" w:cs="Arial" w:eastAsia="Arial" w:hAnsi="Arial"/>
        </w:rPr>
        <w:t xml:space="preserve">2.5 Crise E — Congresso rejeita uma reforma central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Horizonte</w:t>
            </w:r>
          </w:p>
        </w:tc>
        <w:tc>
          <w:tcPr>
            <w:tcW w:type="dxa" w:w="8096"/>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Decisões</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24 horas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Respeito ao resultado; publicação do placar e dos argumentos; nenhuma medida provisória para contornar a decisão</w:t>
            </w:r>
          </w:p>
        </w:tc>
      </w:tr>
      <w:tr>
        <w:trPr>
          <w:cantSplit/>
          <w:tblHeader w:val="off"/>
        </w:trPr>
        <w:tc>
          <w:tcPr>
            <w:tcW w:type="dxa" w:w="1542"/>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30 dias</w:t>
            </w:r>
          </w:p>
        </w:tc>
        <w:tc>
          <w:tcPr>
            <w:tcW w:type="dxa" w:w="8096"/>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Reunião com líderes para identificar pontos de resistência; reapresentação fatiada ou com transição mais longa; acionamento da regra de proteção do programa (Volume 07) para ajustar despesas ligadas à reforma rejeitada</w:t>
            </w:r>
          </w:p>
        </w:tc>
      </w:tr>
      <w:tr>
        <w:trPr>
          <w:cantSplit/>
          <w:tblHeader w:val="off"/>
        </w:trPr>
        <w:tc>
          <w:tcPr>
            <w:tcW w:type="dxa" w:w="1542"/>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6 meses</w:t>
            </w:r>
          </w:p>
        </w:tc>
        <w:tc>
          <w:tcPr>
            <w:tcW w:type="dxa" w:w="8096"/>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Campanha pública de informação sobre os custos da não reforma; novo projeto ajustado; se persistir a rejeição, assumir publicamente o custo político e transferir a decisão ao eleitor nas eleições seguintes</w:t>
            </w:r>
          </w:p>
        </w:tc>
      </w:tr>
    </w:tbl>
    <w:p>
      <w:pPr>
        <w:spacing w:after="120"/>
      </w:pPr>
    </w:p>
    <w:p>
      <w:pPr>
        <w:pStyle w:val="Heading1"/>
      </w:pPr>
      <w:r>
        <w:rPr>
          <w:rFonts w:ascii="Arial" w:cs="Arial" w:eastAsia="Arial" w:hAnsi="Arial"/>
        </w:rPr>
        <w:t xml:space="preserve">3. Autorreflexão da candidata</w:t>
      </w:r>
    </w:p>
    <w:p>
      <w:pPr>
        <w:pStyle w:val="Heading2"/>
      </w:pPr>
      <w:r>
        <w:rPr>
          <w:rFonts w:ascii="Arial" w:cs="Arial" w:eastAsia="Arial" w:hAnsi="Arial"/>
        </w:rPr>
        <w:t xml:space="preserve">3.1 Os cinco maiores pontos fracos do programa</w:t>
      </w:r>
    </w:p>
    <w:p>
      <w:pPr>
        <w:tabs>
          <w:tab w:val="left" w:pos="400"/>
        </w:tabs>
        <w:spacing w:after="80"/>
        <w:ind w:left="400" w:hanging="400"/>
      </w:pPr>
      <w:r>
        <w:rPr>
          <w:rFonts w:ascii="Arial" w:cs="Arial" w:eastAsia="Arial" w:hAnsi="Arial"/>
          <w:b/>
          <w:bCs/>
          <w:color w:val="0F4C5C"/>
        </w:rPr>
        <w:t xml:space="preserve">1.	</w:t>
      </w:r>
      <w:r>
        <w:rPr>
          <w:rFonts w:ascii="Arial" w:cs="Arial" w:eastAsia="Arial" w:hAnsi="Arial"/>
          <w:b/>
          <w:bCs/>
        </w:rPr>
        <w:t xml:space="preserve">Dependência do Congresso.</w:t>
      </w:r>
      <w:r>
        <w:rPr>
          <w:rFonts w:ascii="Arial" w:cs="Arial" w:eastAsia="Arial" w:hAnsi="Arial"/>
        </w:rPr>
        <w:t xml:space="preserve"> As medidas de maior impacto fiscal (renúncias, emendas, BPC, reforma administrativa) exigem maiorias que um partido com 8% não tem.</w:t>
      </w:r>
    </w:p>
    <w:p>
      <w:pPr>
        <w:tabs>
          <w:tab w:val="left" w:pos="400"/>
        </w:tabs>
        <w:spacing w:after="80"/>
        <w:ind w:left="400" w:hanging="400"/>
      </w:pPr>
      <w:r>
        <w:rPr>
          <w:rFonts w:ascii="Arial" w:cs="Arial" w:eastAsia="Arial" w:hAnsi="Arial"/>
          <w:b/>
          <w:bCs/>
          <w:color w:val="0F4C5C"/>
        </w:rPr>
        <w:t xml:space="preserve">2.	</w:t>
      </w:r>
      <w:r>
        <w:rPr>
          <w:rFonts w:ascii="Arial" w:cs="Arial" w:eastAsia="Arial" w:hAnsi="Arial"/>
          <w:b/>
          <w:bCs/>
        </w:rPr>
        <w:t xml:space="preserve">Execução federativa.</w:t>
      </w:r>
      <w:r>
        <w:rPr>
          <w:rFonts w:ascii="Arial" w:cs="Arial" w:eastAsia="Arial" w:hAnsi="Arial"/>
        </w:rPr>
        <w:t xml:space="preserve"> Alfabetização, saúde, segurança e saneamento dependem de milhares de municípios e de 27 estados com capacidades desiguais.</w:t>
      </w:r>
    </w:p>
    <w:p>
      <w:pPr>
        <w:tabs>
          <w:tab w:val="left" w:pos="400"/>
        </w:tabs>
        <w:spacing w:after="80"/>
        <w:ind w:left="400" w:hanging="400"/>
      </w:pPr>
      <w:r>
        <w:rPr>
          <w:rFonts w:ascii="Arial" w:cs="Arial" w:eastAsia="Arial" w:hAnsi="Arial"/>
          <w:b/>
          <w:bCs/>
          <w:color w:val="0F4C5C"/>
        </w:rPr>
        <w:t xml:space="preserve">3.	</w:t>
      </w:r>
      <w:r>
        <w:rPr>
          <w:rFonts w:ascii="Arial" w:cs="Arial" w:eastAsia="Arial" w:hAnsi="Arial"/>
          <w:b/>
          <w:bCs/>
        </w:rPr>
        <w:t xml:space="preserve">Ajuste fiscal insuficiente no cenário central.</w:t>
      </w:r>
      <w:r>
        <w:rPr>
          <w:rFonts w:ascii="Arial" w:cs="Arial" w:eastAsia="Arial" w:hAnsi="Arial"/>
        </w:rPr>
        <w:t xml:space="preserve"> Mesmo com o programa, o primário de 2030 (1,6%) fica pouco abaixo do necessário para reduzir a dívida sem juros menores.</w:t>
      </w:r>
    </w:p>
    <w:p>
      <w:pPr>
        <w:tabs>
          <w:tab w:val="left" w:pos="400"/>
        </w:tabs>
        <w:spacing w:after="80"/>
        <w:ind w:left="400" w:hanging="400"/>
      </w:pPr>
      <w:r>
        <w:rPr>
          <w:rFonts w:ascii="Arial" w:cs="Arial" w:eastAsia="Arial" w:hAnsi="Arial"/>
          <w:b/>
          <w:bCs/>
          <w:color w:val="0F4C5C"/>
        </w:rPr>
        <w:t xml:space="preserve">4.	</w:t>
      </w:r>
      <w:r>
        <w:rPr>
          <w:rFonts w:ascii="Arial" w:cs="Arial" w:eastAsia="Arial" w:hAnsi="Arial"/>
          <w:b/>
          <w:bCs/>
        </w:rPr>
        <w:t xml:space="preserve">Abertura comercial em ambiente protecionista.</w:t>
      </w:r>
      <w:r>
        <w:rPr>
          <w:rFonts w:ascii="Arial" w:cs="Arial" w:eastAsia="Arial" w:hAnsi="Arial"/>
        </w:rPr>
        <w:t xml:space="preserve"> Reduzir tarifas enquanto grandes economias as elevam pode ser lido como concessão sem contrapartida.</w:t>
      </w:r>
    </w:p>
    <w:p>
      <w:pPr>
        <w:tabs>
          <w:tab w:val="left" w:pos="400"/>
        </w:tabs>
        <w:spacing w:after="80"/>
        <w:ind w:left="400" w:hanging="400"/>
      </w:pPr>
      <w:r>
        <w:rPr>
          <w:rFonts w:ascii="Arial" w:cs="Arial" w:eastAsia="Arial" w:hAnsi="Arial"/>
          <w:b/>
          <w:bCs/>
          <w:color w:val="0F4C5C"/>
        </w:rPr>
        <w:t xml:space="preserve">5.	</w:t>
      </w:r>
      <w:r>
        <w:rPr>
          <w:rFonts w:ascii="Arial" w:cs="Arial" w:eastAsia="Arial" w:hAnsi="Arial"/>
          <w:b/>
          <w:bCs/>
        </w:rPr>
        <w:t xml:space="preserve">Perfil da candidata.</w:t>
      </w:r>
      <w:r>
        <w:rPr>
          <w:rFonts w:ascii="Arial" w:cs="Arial" w:eastAsia="Arial" w:hAnsi="Arial"/>
        </w:rPr>
        <w:t xml:space="preserve"> Pouca experiência no setor privado e carisma limitado para mobilizar opinião pública em reformas impopulares.</w:t>
      </w:r>
    </w:p>
    <w:p>
      <w:pPr>
        <w:pStyle w:val="Heading2"/>
      </w:pPr>
      <w:r>
        <w:rPr>
          <w:rFonts w:ascii="Arial" w:cs="Arial" w:eastAsia="Arial" w:hAnsi="Arial"/>
        </w:rPr>
        <w:t xml:space="preserve">3.2 Quem pode discordar e por quê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Grupo</w:t>
            </w:r>
          </w:p>
        </w:tc>
        <w:tc>
          <w:tcPr>
            <w:tcW w:type="dxa" w:w="6747"/>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Motivo da discordância</w:t>
            </w:r>
          </w:p>
        </w:tc>
      </w:tr>
      <w:tr>
        <w:trPr>
          <w:cantSplit/>
          <w:tblHeader w:val="off"/>
        </w:trPr>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Bancadas do agronegócio e do Amazonas</w:t>
            </w:r>
          </w:p>
        </w:tc>
        <w:tc>
          <w:tcPr>
            <w:tcW w:type="dxa" w:w="674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Corte de renúncias e transição da Zona Franca</w:t>
            </w:r>
          </w:p>
        </w:tc>
      </w:tr>
      <w:tr>
        <w:trPr>
          <w:cantSplit/>
          <w:tblHeader w:val="off"/>
        </w:trPr>
        <w:tc>
          <w:tcPr>
            <w:tcW w:type="dxa" w:w="2891"/>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Servidores públicos e corporações do sistema de justiça</w:t>
            </w:r>
          </w:p>
        </w:tc>
        <w:tc>
          <w:tcPr>
            <w:tcW w:type="dxa" w:w="674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Reforma administrativa e fim dos supersalários</w:t>
            </w:r>
          </w:p>
        </w:tc>
      </w:tr>
      <w:tr>
        <w:trPr>
          <w:cantSplit/>
          <w:tblHeader w:val="off"/>
        </w:trPr>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Militares</w:t>
            </w:r>
          </w:p>
        </w:tc>
        <w:tc>
          <w:tcPr>
            <w:tcW w:type="dxa" w:w="674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Reforma de pensões e carreiras</w:t>
            </w:r>
          </w:p>
        </w:tc>
      </w:tr>
      <w:tr>
        <w:trPr>
          <w:cantSplit/>
          <w:tblHeader w:val="off"/>
        </w:trPr>
        <w:tc>
          <w:tcPr>
            <w:tcW w:type="dxa" w:w="2891"/>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Movimentos sociais e partidos de esquerda</w:t>
            </w:r>
          </w:p>
        </w:tc>
        <w:tc>
          <w:tcPr>
            <w:tcW w:type="dxa" w:w="674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Desvinculação do BPC, privatização dos Correios, contratação privada no SUS</w:t>
            </w:r>
          </w:p>
        </w:tc>
      </w:tr>
      <w:tr>
        <w:trPr>
          <w:cantSplit/>
          <w:tblHeader w:val="off"/>
        </w:trPr>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Indústria protegida</w:t>
            </w:r>
          </w:p>
        </w:tc>
        <w:tc>
          <w:tcPr>
            <w:tcW w:type="dxa" w:w="674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Redução da TEC</w:t>
            </w:r>
          </w:p>
        </w:tc>
      </w:tr>
      <w:tr>
        <w:trPr>
          <w:cantSplit/>
          <w:tblHeader w:val="off"/>
        </w:trPr>
        <w:tc>
          <w:tcPr>
            <w:tcW w:type="dxa" w:w="2891"/>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Ambientalistas</w:t>
            </w:r>
          </w:p>
        </w:tc>
        <w:tc>
          <w:tcPr>
            <w:tcW w:type="dxa" w:w="674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Margem Equatorial e energia nuclear</w:t>
            </w:r>
          </w:p>
        </w:tc>
      </w:tr>
      <w:tr>
        <w:trPr>
          <w:cantSplit/>
          <w:tblHeader w:val="off"/>
        </w:trPr>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Setores conservadores</w:t>
            </w:r>
          </w:p>
        </w:tc>
        <w:tc>
          <w:tcPr>
            <w:tcW w:type="dxa" w:w="674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Manutenção da descriminalização do porte para uso pessoal, restrição de armas e regulação de plataformas</w:t>
            </w:r>
          </w:p>
        </w:tc>
      </w:tr>
      <w:tr>
        <w:trPr>
          <w:cantSplit/>
          <w:tblHeader w:val="off"/>
        </w:trPr>
        <w:tc>
          <w:tcPr>
            <w:tcW w:type="dxa" w:w="2891"/>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Parlamentares</w:t>
            </w:r>
          </w:p>
        </w:tc>
        <w:tc>
          <w:tcPr>
            <w:tcW w:type="dxa" w:w="6747"/>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Teto de emendas e voto distrital misto</w:t>
            </w:r>
          </w:p>
        </w:tc>
      </w:tr>
      <w:tr>
        <w:trPr>
          <w:cantSplit/>
          <w:tblHeader w:val="off"/>
        </w:trPr>
        <w:tc>
          <w:tcPr>
            <w:tcW w:type="dxa" w:w="2891"/>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Empresas de plataformas</w:t>
            </w:r>
          </w:p>
        </w:tc>
        <w:tc>
          <w:tcPr>
            <w:tcW w:type="dxa" w:w="6747"/>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Lei de responsabilidade e regras de trabalho</w:t>
            </w:r>
          </w:p>
        </w:tc>
      </w:tr>
    </w:tbl>
    <w:p>
      <w:pPr>
        <w:spacing w:after="120"/>
      </w:pPr>
    </w:p>
    <w:p>
      <w:pPr>
        <w:pStyle w:val="Heading2"/>
      </w:pPr>
      <w:r>
        <w:rPr>
          <w:rFonts w:ascii="Arial" w:cs="Arial" w:eastAsia="Arial" w:hAnsi="Arial"/>
        </w:rPr>
        <w:t xml:space="preserve">3.3 Promessas de cumprimento mais difícil</w:t>
      </w:r>
    </w:p>
    <w:p>
      <w:pPr>
        <w:spacing w:after="140" w:line="288"/>
        <w:jc w:val="both"/>
      </w:pPr>
      <w:r>
        <w:rPr>
          <w:rFonts w:ascii="Arial" w:cs="Arial" w:eastAsia="Arial" w:hAnsi="Arial"/>
        </w:rPr>
        <w:t xml:space="preserve">Voto distrital misto (20%), reforma administrativa (30%), desestatização dos Correios (35%), desmatamento ilegal em trajetória para zero (35%) e taxa de investimento de 18,5% (35%).</w:t>
      </w:r>
    </w:p>
    <w:p>
      <w:pPr>
        <w:pStyle w:val="Heading2"/>
      </w:pPr>
      <w:r>
        <w:rPr>
          <w:rFonts w:ascii="Arial" w:cs="Arial" w:eastAsia="Arial" w:hAnsi="Arial"/>
        </w:rPr>
        <w:t xml:space="preserve">3.4 Propostas que poderiam produzir consequências negativas</w:t>
      </w:r>
    </w:p>
    <w:p>
      <w:pPr>
        <w:pStyle w:val="ListParagraph"/>
        <w:numPr>
          <w:ilvl w:val="0"/>
          <w:numId w:val="2"/>
        </w:numPr>
        <w:spacing w:after="60"/>
      </w:pPr>
      <w:r>
        <w:rPr>
          <w:rFonts w:ascii="Arial" w:cs="Arial" w:eastAsia="Arial" w:hAnsi="Arial"/>
          <w:b/>
          <w:bCs/>
        </w:rPr>
        <w:t xml:space="preserve">Desvinculação do BPC:</w:t>
      </w:r>
      <w:r>
        <w:rPr>
          <w:rFonts w:ascii="Arial" w:cs="Arial" w:eastAsia="Arial" w:hAnsi="Arial"/>
        </w:rPr>
        <w:t xml:space="preserve"> risco de perda gradual de poder de compra relativo de idosos e pessoas com deficiência pobres. Salvaguarda: revisão real quadrienal e avaliação independente.</w:t>
      </w:r>
    </w:p>
    <w:p>
      <w:pPr>
        <w:pStyle w:val="ListParagraph"/>
        <w:numPr>
          <w:ilvl w:val="0"/>
          <w:numId w:val="2"/>
        </w:numPr>
        <w:spacing w:after="60"/>
      </w:pPr>
      <w:r>
        <w:rPr>
          <w:rFonts w:ascii="Arial" w:cs="Arial" w:eastAsia="Arial" w:hAnsi="Arial"/>
          <w:b/>
          <w:bCs/>
        </w:rPr>
        <w:t xml:space="preserve">Redução da TEC:</w:t>
      </w:r>
      <w:r>
        <w:rPr>
          <w:rFonts w:ascii="Arial" w:cs="Arial" w:eastAsia="Arial" w:hAnsi="Arial"/>
        </w:rPr>
        <w:t xml:space="preserve"> perdas localizadas de emprego industrial. Salvaguarda: cronograma, requalificação e cláusula de suspensão (Volume 01).</w:t>
      </w:r>
    </w:p>
    <w:p>
      <w:pPr>
        <w:pStyle w:val="ListParagraph"/>
        <w:numPr>
          <w:ilvl w:val="0"/>
          <w:numId w:val="2"/>
        </w:numPr>
        <w:spacing w:after="60"/>
      </w:pPr>
      <w:r>
        <w:rPr>
          <w:rFonts w:ascii="Arial" w:cs="Arial" w:eastAsia="Arial" w:hAnsi="Arial"/>
          <w:b/>
          <w:bCs/>
        </w:rPr>
        <w:t xml:space="preserve">Contratação privada no SUS:</w:t>
      </w:r>
      <w:r>
        <w:rPr>
          <w:rFonts w:ascii="Arial" w:cs="Arial" w:eastAsia="Arial" w:hAnsi="Arial"/>
        </w:rPr>
        <w:t xml:space="preserve"> risco de seleção de pacientes e fraude. Salvaguarda: pagamento por pacote, auditoria e fila única.</w:t>
      </w:r>
    </w:p>
    <w:p>
      <w:pPr>
        <w:pStyle w:val="ListParagraph"/>
        <w:numPr>
          <w:ilvl w:val="0"/>
          <w:numId w:val="2"/>
        </w:numPr>
        <w:spacing w:after="60"/>
      </w:pPr>
      <w:r>
        <w:rPr>
          <w:rFonts w:ascii="Arial" w:cs="Arial" w:eastAsia="Arial" w:hAnsi="Arial"/>
          <w:b/>
          <w:bCs/>
        </w:rPr>
        <w:t xml:space="preserve">Margem Equatorial:</w:t>
      </w:r>
      <w:r>
        <w:rPr>
          <w:rFonts w:ascii="Arial" w:cs="Arial" w:eastAsia="Arial" w:hAnsi="Arial"/>
        </w:rPr>
        <w:t xml:space="preserve"> risco de acidente ambiental em área sensível. Salvaguarda: plano de emergência certificado e licenciamento independente.</w:t>
      </w:r>
    </w:p>
    <w:p>
      <w:pPr>
        <w:pStyle w:val="ListParagraph"/>
        <w:numPr>
          <w:ilvl w:val="0"/>
          <w:numId w:val="2"/>
        </w:numPr>
        <w:spacing w:after="60"/>
      </w:pPr>
      <w:r>
        <w:rPr>
          <w:rFonts w:ascii="Arial" w:cs="Arial" w:eastAsia="Arial" w:hAnsi="Arial"/>
          <w:b/>
          <w:bCs/>
        </w:rPr>
        <w:t xml:space="preserve">Asfixia financeira de facções:</w:t>
      </w:r>
      <w:r>
        <w:rPr>
          <w:rFonts w:ascii="Arial" w:cs="Arial" w:eastAsia="Arial" w:hAnsi="Arial"/>
        </w:rPr>
        <w:t xml:space="preserve"> risco de reação violenta no curto prazo (ver Crise B).</w:t>
      </w:r>
    </w:p>
    <w:p>
      <w:pPr>
        <w:pStyle w:val="Heading2"/>
      </w:pPr>
      <w:r>
        <w:rPr>
          <w:rFonts w:ascii="Arial" w:cs="Arial" w:eastAsia="Arial" w:hAnsi="Arial"/>
        </w:rPr>
        <w:t xml:space="preserve">3.5 As três críticas mais fortes de um adversário intelectualmente honesto — e as respostas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Crítica</w:t>
            </w:r>
          </w:p>
        </w:tc>
        <w:tc>
          <w:tcPr>
            <w:tcW w:type="dxa" w:w="4819"/>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Resposta</w:t>
            </w:r>
          </w:p>
        </w:tc>
      </w:tr>
      <w:tr>
        <w:trPr>
          <w:cantSplit/>
          <w:tblHeader w:val="off"/>
        </w:trPr>
        <w:tc>
          <w:tcPr>
            <w:tcW w:type="dxa" w:w="481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1. “O programa depende de reformas que você não tem votos para aprovar; na prática, é um programa de 8%.”</w:t>
            </w:r>
          </w:p>
        </w:tc>
        <w:tc>
          <w:tcPr>
            <w:tcW w:type="dxa" w:w="481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É verdade que as reformas estruturais dependem do Congresso, e por isso a campanha publica probabilidades. Mas um terço das promessas é executável pelo Executivo, e a regra de proteção do programa impede que despesas novas avancem sem receitas aprovadas. Se o Congresso rejeitar, o país saberá exatamente quem rejeitou e por quê</w:t>
            </w:r>
          </w:p>
        </w:tc>
      </w:tr>
      <w:tr>
        <w:trPr>
          <w:cantSplit/>
          <w:tblHeader w:val="off"/>
        </w:trPr>
        <w:tc>
          <w:tcPr>
            <w:tcW w:type="dxa" w:w="481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2. “Desvincular o BPC e cortar renúncias do Simples é fazer ajuste sobre os mais pobres e sobre pequenos empresários.”</w:t>
            </w:r>
          </w:p>
        </w:tc>
        <w:tc>
          <w:tcPr>
            <w:tcW w:type="dxa" w:w="4819"/>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Benefícios já concedidos ficam preservados; novos têm reajuste pela inflação com revisão real. A revisão do Simples mira faturamentos altos sem inovação nem exportação. O maior corte proporcional recai sobre setores com renúncias sem contrapartida, supersalários e emendas, não sobre os pobres; e a primeira infância recebe R$ 10 bi a mais por ano</w:t>
            </w:r>
          </w:p>
        </w:tc>
      </w:tr>
      <w:tr>
        <w:trPr>
          <w:cantSplit/>
          <w:tblHeader w:val="off"/>
        </w:trPr>
        <w:tc>
          <w:tcPr>
            <w:tcW w:type="dxa" w:w="481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3. “Reduzir tarifas e privatizar Correios é o mesmo liberalismo que não entregou crescimento na América Latina.”</w:t>
            </w:r>
          </w:p>
        </w:tc>
        <w:tc>
          <w:tcPr>
            <w:tcW w:type="dxa" w:w="4819"/>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O programa não reduz o Estado nas funções em que ele é insubstituível: amplia segurança, saúde, educação técnica e proteção à primeira infância. A abertura é gradual, começa por bens de capital e insumos (que barateiam a produção nacional) e tem cláusula de suspensão por evidência</w:t>
            </w:r>
          </w:p>
        </w:tc>
      </w:tr>
    </w:tbl>
    <w:p>
      <w:pPr>
        <w:spacing w:after="120"/>
      </w:pPr>
    </w:p>
    <w:p>
      <w:pPr>
        <w:pStyle w:val="Heading2"/>
      </w:pPr>
      <w:r>
        <w:rPr>
          <w:rFonts w:ascii="Arial" w:cs="Arial" w:eastAsia="Arial" w:hAnsi="Arial"/>
        </w:rPr>
        <w:t xml:space="preserve">3.6 Evidências que fariam a candidata abandonar uma política própria</w:t>
      </w:r>
    </w:p>
    <w:p>
      <w:pPr>
        <w:pStyle w:val="ListParagraph"/>
        <w:numPr>
          <w:ilvl w:val="0"/>
          <w:numId w:val="2"/>
        </w:numPr>
        <w:spacing w:after="60"/>
      </w:pPr>
      <w:r>
        <w:rPr>
          <w:rFonts w:ascii="Arial" w:cs="Arial" w:eastAsia="Arial" w:hAnsi="Arial"/>
        </w:rPr>
        <w:t xml:space="preserve">Aumento da extrema pobreza entre beneficiários do BPC após a desvinculação.</w:t>
      </w:r>
    </w:p>
    <w:p>
      <w:pPr>
        <w:pStyle w:val="ListParagraph"/>
        <w:numPr>
          <w:ilvl w:val="0"/>
          <w:numId w:val="2"/>
        </w:numPr>
        <w:spacing w:after="60"/>
      </w:pPr>
      <w:r>
        <w:rPr>
          <w:rFonts w:ascii="Arial" w:cs="Arial" w:eastAsia="Arial" w:hAnsi="Arial"/>
        </w:rPr>
        <w:t xml:space="preserve">Perda líquida de emprego industrial acima de 5% em dois anos sem ganho de produtividade, após a redução da TEC.</w:t>
      </w:r>
    </w:p>
    <w:p>
      <w:pPr>
        <w:pStyle w:val="ListParagraph"/>
        <w:numPr>
          <w:ilvl w:val="0"/>
          <w:numId w:val="2"/>
        </w:numPr>
        <w:spacing w:after="60"/>
      </w:pPr>
      <w:r>
        <w:rPr>
          <w:rFonts w:ascii="Arial" w:cs="Arial" w:eastAsia="Arial" w:hAnsi="Arial"/>
        </w:rPr>
        <w:t xml:space="preserve">Avaliação independente mostrando que o Fila Zero custou mais por procedimento do que a ampliação da rede pública própria.</w:t>
      </w:r>
    </w:p>
    <w:p>
      <w:pPr>
        <w:pStyle w:val="ListParagraph"/>
        <w:numPr>
          <w:ilvl w:val="0"/>
          <w:numId w:val="2"/>
        </w:numPr>
        <w:spacing w:after="60"/>
      </w:pPr>
      <w:r>
        <w:rPr>
          <w:rFonts w:ascii="Arial" w:cs="Arial" w:eastAsia="Arial" w:hAnsi="Arial"/>
        </w:rPr>
        <w:t xml:space="preserve">Aumento da letalidade policial ou de mortes de civis associado às operações da ANCO.</w:t>
      </w:r>
    </w:p>
    <w:p>
      <w:pPr>
        <w:pStyle w:val="Heading2"/>
      </w:pPr>
      <w:r>
        <w:rPr>
          <w:rFonts w:ascii="Arial" w:cs="Arial" w:eastAsia="Arial" w:hAnsi="Arial"/>
        </w:rPr>
        <w:t xml:space="preserve">3.7 Critério de fracasso do mandato</w:t>
      </w:r>
    </w:p>
    <w:p>
      <w:pPr>
        <w:spacing w:after="140" w:line="288"/>
        <w:jc w:val="both"/>
      </w:pPr>
      <w:r>
        <w:rPr>
          <w:rFonts w:ascii="Arial" w:cs="Arial" w:eastAsia="Arial" w:hAnsi="Arial"/>
        </w:rPr>
        <w:t xml:space="preserve">O mandato será considerado um </w:t>
      </w:r>
      <w:r>
        <w:rPr>
          <w:rFonts w:ascii="Arial" w:cs="Arial" w:eastAsia="Arial" w:hAnsi="Arial"/>
          <w:b/>
          <w:bCs/>
        </w:rPr>
        <w:t xml:space="preserve">fracasso</w:t>
      </w:r>
      <w:r>
        <w:rPr>
          <w:rFonts w:ascii="Arial" w:cs="Arial" w:eastAsia="Arial" w:hAnsi="Arial"/>
        </w:rPr>
        <w:t xml:space="preserve"> se, ao fim de 2030, ocorrerem simultaneamente pelo menos dois destes três resultados: (1) dívida bruta acima de 95% do PIB e em alta; (2) mortes violentas intencionais acima de 19 por 100 mil habitantes; (3) alfabetização na idade certa abaixo de 70%. A candidata assume publicamente esse critério.</w:t>
      </w:r>
    </w:p>
    <w:sectPr>
      <w:headerReference w:type="default" r:id="rId6"/>
      <w:headerReference w:type="first" r:id="rId7"/>
      <w:footerReference w:type="default" r:id="rId8"/>
      <w:footerReference w:type="first" r:id="rId9"/>
      <w:pgSz w:w="11906" w:h="16838" w:orient="portrait"/>
      <w:pgMar w:top="1300" w:right="1134" w:bottom="1200" w:left="1134"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3"/>
        <w:sz w:val="16"/>
        <w:szCs w:val="16"/>
      </w:rPr>
      <w:t xml:space="preserve">Simulação fictícia • Eleições Presidenciais das IAs • Brasil 2026   |   Página </w:t>
    </w:r>
    <w:r>
      <w:rPr>
        <w:rFonts w:ascii="Arial" w:cs="Arial" w:eastAsia="Arial" w:hAnsi="Arial"/>
        <w:color w:val="5A6B73"/>
        <w:sz w:val="16"/>
        <w:szCs w:val="16"/>
      </w:rPr>
      <w:fldChar w:fldCharType="begin"/>
      <w:instrText xml:space="preserve">PAGE</w:instrText>
      <w:fldChar w:fldCharType="separate"/>
      <w:fldChar w:fldCharType="end"/>
    </w:r>
    <w:r>
      <w:rPr>
        <w:rFonts w:ascii="Arial" w:cs="Arial" w:eastAsia="Arial" w:hAnsi="Arial"/>
        <w:color w:val="5A6B73"/>
        <w:sz w:val="16"/>
        <w:szCs w:val="16"/>
      </w:rPr>
      <w:t xml:space="preserve"> de </w:t>
    </w:r>
    <w:r>
      <w:rPr>
        <w:rFonts w:ascii="Arial" w:cs="Arial" w:eastAsia="Arial" w:hAnsi="Arial"/>
        <w:color w:val="5A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6CB" w:sz="4" w:space="4"/>
      </w:pBdr>
    </w:pPr>
    <w:r>
      <w:rPr>
        <w:rFonts w:ascii="Arial" w:cs="Arial" w:eastAsia="Arial" w:hAnsi="Arial"/>
        <w:b/>
        <w:bCs/>
        <w:color w:val="0F4C5C"/>
        <w:sz w:val="16"/>
        <w:szCs w:val="16"/>
      </w:rPr>
      <w:t xml:space="preserve">ALICERCE · Inês Aragão — Plano 2027–2030</w:t>
    </w:r>
    <w:r>
      <w:rPr>
        <w:rFonts w:ascii="Arial" w:cs="Arial" w:eastAsia="Arial" w:hAnsi="Arial"/>
        <w:color w:val="5A6B73"/>
        <w:sz w:val="16"/>
        <w:szCs w:val="16"/>
      </w:rPr>
      <w:t xml:space="preserve">   |   Volume 08: Governabilidade, crises e autocrítica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lvl w:ilvl="1" w: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9A2B" w:sz="8" w:space="4"/>
      </w:pBdr>
      <w:spacing w:after="200" w:before="240"/>
      <w:outlineLvl w:val="0"/>
    </w:pPr>
    <w:rPr>
      <w:rFonts w:ascii="Arial" w:cs="Arial" w:eastAsia="Arial" w:hAnsi="Arial"/>
      <w:b/>
      <w:bCs/>
      <w:color w:val="0F4C5C"/>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0F4C5C"/>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5482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82b4b03bd21f639871f9c1ed8c6a97cb5be667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Governabilidade, Testes de Crise e Autocrítica</dc:title>
  <dc:creator>Campanha fictícia ALICERCE</dc:creator>
  <dc:description>Simulação fictícia — Eleições Presidenciais das IAs — Brasil 2026</dc:description>
  <cp:lastModifiedBy>Un-named</cp:lastModifiedBy>
  <cp:revision>1</cp:revision>
  <dcterms:created xsi:type="dcterms:W3CDTF">2026-10-20T05:37:44.335Z</dcterms:created>
  <dcterms:modified xsi:type="dcterms:W3CDTF">2026-10-20T05:37:44.335Z</dcterms:modified>
</cp:coreProperties>
</file>

<file path=docProps/custom.xml><?xml version="1.0" encoding="utf-8"?>
<Properties xmlns="http://schemas.openxmlformats.org/officeDocument/2006/custom-properties" xmlns:vt="http://schemas.openxmlformats.org/officeDocument/2006/docPropsVTypes"/>
</file>