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  <Override ContentType="application/vnd.openxmlformats-officedocument.wordprocessingml.header+xml" PartName="/word/header1.xml"/>
  <Override ContentType="application/vnd.openxmlformats-officedocument.wordprocessingml.header+xml" PartName="/word/header2.xml"/>
  <Override ContentType="application/vnd.openxmlformats-officedocument.wordprocessingml.footer+xml" PartName="/word/footer1.xml"/>
  <Override ContentType="application/vnd.openxmlformats-officedocument.wordprocessingml.footer+xml" PartName="/word/footer2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 w:before="600"/>
        <w:jc w:val="center"/>
      </w:pPr>
      <w:r>
        <w:drawing>
          <wp:inline distT="0" distB="0" distL="0" distR="0">
            <wp:extent cx="2190750" cy="2190750"/>
            <wp:effectExtent t="0" r="0" b="0" l="0"/>
            <wp:docPr id="18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90750" cy="2190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 w:before="200"/>
        <w:jc w:val="center"/>
      </w:pPr>
      <w:r>
        <w:rPr>
          <w:rFonts w:ascii="Arial" w:cs="Arial" w:eastAsia="Arial" w:hAnsi="Arial"/>
          <w:b/>
          <w:bCs/>
          <w:color w:val="B5482F"/>
          <w:sz w:val="22"/>
          <w:szCs w:val="22"/>
        </w:rPr>
        <w:t xml:space="preserve">REGISTRO DE CANDIDATURA — ELEIÇÕES PRESIDENCIAIS DAS IAs — BRASIL 2026</w:t>
      </w:r>
    </w:p>
    <w:p>
      <w:pPr>
        <w:pBdr>
          <w:bottom w:val="single" w:color="D99A2B" w:sz="12" w:space="6"/>
        </w:pBdr>
        <w:spacing w:after="120"/>
        <w:jc w:val="center"/>
      </w:pPr>
      <w:r>
        <w:rPr>
          <w:rFonts w:ascii="Arial" w:cs="Arial" w:eastAsia="Arial" w:hAnsi="Arial"/>
          <w:b/>
          <w:bCs/>
          <w:color w:val="5A6B73"/>
          <w:sz w:val="26"/>
          <w:szCs w:val="26"/>
        </w:rPr>
        <w:t xml:space="preserve">VOLUME 12</w:t>
      </w:r>
    </w:p>
    <w:p>
      <w:pPr>
        <w:spacing w:after="160" w:before="300"/>
        <w:jc w:val="center"/>
      </w:pPr>
      <w:r>
        <w:rPr>
          <w:rFonts w:ascii="Arial" w:cs="Arial" w:eastAsia="Arial" w:hAnsi="Arial"/>
          <w:b/>
          <w:bCs/>
          <w:color w:val="0F4C5C"/>
          <w:sz w:val="44"/>
          <w:szCs w:val="44"/>
        </w:rPr>
        <w:t xml:space="preserve">Referências Bibliográficas e Fontes dos Dados</w:t>
      </w:r>
    </w:p>
    <w:p>
      <w:pPr>
        <w:spacing w:after="500"/>
        <w:jc w:val="center"/>
      </w:pPr>
      <w:r>
        <w:rPr>
          <w:rFonts w:ascii="Arial" w:cs="Arial" w:eastAsia="Arial" w:hAnsi="Arial"/>
          <w:i/>
          <w:iCs/>
          <w:color w:val="1E2A30"/>
          <w:sz w:val="24"/>
          <w:szCs w:val="24"/>
        </w:rPr>
        <w:t xml:space="preserve">Fontes consultadas até 20 de outubro de 2026, com endereço eletrônico</w:t>
      </w:r>
    </w:p>
    <w:p>
      <w:pPr>
        <w:spacing w:after="60"/>
        <w:jc w:val="center"/>
      </w:pPr>
      <w:r>
        <w:rPr>
          <w:rFonts w:ascii="Arial" w:cs="Arial" w:eastAsia="Arial" w:hAnsi="Arial"/>
          <w:b/>
          <w:bCs/>
          <w:color w:val="0F4C5C"/>
          <w:sz w:val="20"/>
          <w:szCs w:val="20"/>
        </w:rPr>
        <w:t xml:space="preserve">Candidata: </w:t>
      </w:r>
      <w:r>
        <w:rPr>
          <w:rFonts w:ascii="Arial" w:cs="Arial" w:eastAsia="Arial" w:hAnsi="Arial"/>
          <w:color w:val="1E2A30"/>
          <w:sz w:val="20"/>
          <w:szCs w:val="20"/>
        </w:rPr>
        <w:t xml:space="preserve">Inês Aragão Tavares — “Inês Aragão”</w:t>
      </w:r>
    </w:p>
    <w:p>
      <w:pPr>
        <w:spacing w:after="60"/>
        <w:jc w:val="center"/>
      </w:pPr>
      <w:r>
        <w:rPr>
          <w:rFonts w:ascii="Arial" w:cs="Arial" w:eastAsia="Arial" w:hAnsi="Arial"/>
          <w:b/>
          <w:bCs/>
          <w:color w:val="0F4C5C"/>
          <w:sz w:val="20"/>
          <w:szCs w:val="20"/>
        </w:rPr>
        <w:t xml:space="preserve">Vice: </w:t>
      </w:r>
      <w:r>
        <w:rPr>
          <w:rFonts w:ascii="Arial" w:cs="Arial" w:eastAsia="Arial" w:hAnsi="Arial"/>
          <w:color w:val="1E2A30"/>
          <w:sz w:val="20"/>
          <w:szCs w:val="20"/>
        </w:rPr>
        <w:t xml:space="preserve">Rafael Kerber Antunes — “Rafael Kerber”</w:t>
      </w:r>
    </w:p>
    <w:p>
      <w:pPr>
        <w:spacing w:after="60"/>
        <w:jc w:val="center"/>
      </w:pPr>
      <w:r>
        <w:rPr>
          <w:rFonts w:ascii="Arial" w:cs="Arial" w:eastAsia="Arial" w:hAnsi="Arial"/>
          <w:b/>
          <w:bCs/>
          <w:color w:val="0F4C5C"/>
          <w:sz w:val="20"/>
          <w:szCs w:val="20"/>
        </w:rPr>
        <w:t xml:space="preserve">Partido fictício: </w:t>
      </w:r>
      <w:r>
        <w:rPr>
          <w:rFonts w:ascii="Arial" w:cs="Arial" w:eastAsia="Arial" w:hAnsi="Arial"/>
          <w:color w:val="1E2A30"/>
          <w:sz w:val="20"/>
          <w:szCs w:val="20"/>
        </w:rPr>
        <w:t xml:space="preserve">ALICERCE — Partido Republicano da Capacidade Nacional (sigla ALC)</w:t>
      </w:r>
    </w:p>
    <w:p>
      <w:pPr>
        <w:spacing w:after="60"/>
        <w:jc w:val="center"/>
      </w:pPr>
      <w:r>
        <w:rPr>
          <w:rFonts w:ascii="Arial" w:cs="Arial" w:eastAsia="Arial" w:hAnsi="Arial"/>
          <w:b/>
          <w:bCs/>
          <w:color w:val="0F4C5C"/>
          <w:sz w:val="20"/>
          <w:szCs w:val="20"/>
        </w:rPr>
        <w:t xml:space="preserve">Slogan: </w:t>
      </w:r>
      <w:r>
        <w:rPr>
          <w:rFonts w:ascii="Arial" w:cs="Arial" w:eastAsia="Arial" w:hAnsi="Arial"/>
          <w:color w:val="1E2A30"/>
          <w:sz w:val="20"/>
          <w:szCs w:val="20"/>
        </w:rPr>
        <w:t xml:space="preserve">Fazer o Brasil funcionar.</w:t>
      </w:r>
    </w:p>
    <w:p>
      <w:pPr>
        <w:spacing w:after="60"/>
        <w:jc w:val="center"/>
      </w:pPr>
      <w:r>
        <w:rPr>
          <w:rFonts w:ascii="Arial" w:cs="Arial" w:eastAsia="Arial" w:hAnsi="Arial"/>
          <w:b/>
          <w:bCs/>
          <w:color w:val="0F4C5C"/>
          <w:sz w:val="20"/>
          <w:szCs w:val="20"/>
        </w:rPr>
        <w:t xml:space="preserve">Data-base: </w:t>
      </w:r>
      <w:r>
        <w:rPr>
          <w:rFonts w:ascii="Arial" w:cs="Arial" w:eastAsia="Arial" w:hAnsi="Arial"/>
          <w:color w:val="1E2A30"/>
          <w:sz w:val="20"/>
          <w:szCs w:val="20"/>
        </w:rPr>
        <w:t xml:space="preserve">20 de outubro de 2026 · Mandato hipotético 2027–2030</w:t>
      </w:r>
    </w:p>
    <w:p>
      <w:pPr>
        <w:spacing w:before="700"/>
        <w:jc w:val="center"/>
      </w:pPr>
      <w:r>
        <w:rPr>
          <w:rFonts w:ascii="Arial" w:cs="Arial" w:eastAsia="Arial" w:hAnsi="Arial"/>
          <w:i/>
          <w:iCs/>
          <w:color w:val="5A6B73"/>
          <w:sz w:val="16"/>
          <w:szCs w:val="16"/>
        </w:rPr>
        <w:t xml:space="preserve">Documento de simulação política fictícia. Personagens, partido, marca e trajetórias são inventados. Não constitui candidatura real, propaganda eleitoral, registro no TSE ou manifestação de qualquer empresa.</w:t>
      </w:r>
    </w:p>
    <w:p>
      <w:r>
        <w:br w:type="page"/>
      </w:r>
    </w:p>
    <w:p>
      <w:pPr>
        <w:spacing w:after="200"/>
      </w:pPr>
      <w:r>
        <w:rPr>
          <w:rFonts w:ascii="Arial" w:cs="Arial" w:eastAsia="Arial" w:hAnsi="Arial"/>
          <w:b/>
          <w:bCs/>
          <w:color w:val="0F4C5C"/>
          <w:sz w:val="32"/>
          <w:szCs w:val="32"/>
        </w:rPr>
        <w:t xml:space="preserve">Sumário</w:t>
      </w:r>
    </w:p>
    <w:p>
      <w:pPr>
        <w:spacing w:after="40" w:before="100"/>
      </w:pPr>
      <w:r>
        <w:rPr>
          <w:rFonts w:ascii="Arial" w:cs="Arial" w:eastAsia="Arial" w:hAnsi="Arial"/>
          <w:b/>
          <w:bCs/>
          <w:color w:val="0F4C5C"/>
          <w:sz w:val="21"/>
          <w:szCs w:val="21"/>
        </w:rPr>
        <w:t xml:space="preserve">1. Nota metodológica</w:t>
      </w:r>
    </w:p>
    <w:p>
      <w:pPr>
        <w:spacing w:after="40" w:before="100"/>
      </w:pPr>
      <w:r>
        <w:rPr>
          <w:rFonts w:ascii="Arial" w:cs="Arial" w:eastAsia="Arial" w:hAnsi="Arial"/>
          <w:b/>
          <w:bCs/>
          <w:color w:val="0F4C5C"/>
          <w:sz w:val="21"/>
          <w:szCs w:val="21"/>
        </w:rPr>
        <w:t xml:space="preserve">2. Economia e contas públicas</w:t>
      </w:r>
    </w:p>
    <w:p>
      <w:pPr>
        <w:spacing w:after="40" w:before="100"/>
      </w:pPr>
      <w:r>
        <w:rPr>
          <w:rFonts w:ascii="Arial" w:cs="Arial" w:eastAsia="Arial" w:hAnsi="Arial"/>
          <w:b/>
          <w:bCs/>
          <w:color w:val="0F4C5C"/>
          <w:sz w:val="21"/>
          <w:szCs w:val="21"/>
        </w:rPr>
        <w:t xml:space="preserve">3. Trabalho, renda e sociedade</w:t>
      </w:r>
    </w:p>
    <w:p>
      <w:pPr>
        <w:spacing w:after="40" w:before="100"/>
      </w:pPr>
      <w:r>
        <w:rPr>
          <w:rFonts w:ascii="Arial" w:cs="Arial" w:eastAsia="Arial" w:hAnsi="Arial"/>
          <w:b/>
          <w:bCs/>
          <w:color w:val="0F4C5C"/>
          <w:sz w:val="21"/>
          <w:szCs w:val="21"/>
        </w:rPr>
        <w:t xml:space="preserve">4. Educação e segurança</w:t>
      </w:r>
    </w:p>
    <w:p>
      <w:pPr>
        <w:spacing w:after="40" w:before="100"/>
      </w:pPr>
      <w:r>
        <w:rPr>
          <w:rFonts w:ascii="Arial" w:cs="Arial" w:eastAsia="Arial" w:hAnsi="Arial"/>
          <w:b/>
          <w:bCs/>
          <w:color w:val="0F4C5C"/>
          <w:sz w:val="21"/>
          <w:szCs w:val="21"/>
        </w:rPr>
        <w:t xml:space="preserve">5. Comércio exterior e política externa</w:t>
      </w:r>
    </w:p>
    <w:p>
      <w:pPr>
        <w:spacing w:after="40" w:before="100"/>
      </w:pPr>
      <w:r>
        <w:rPr>
          <w:rFonts w:ascii="Arial" w:cs="Arial" w:eastAsia="Arial" w:hAnsi="Arial"/>
          <w:b/>
          <w:bCs/>
          <w:color w:val="0F4C5C"/>
          <w:sz w:val="21"/>
          <w:szCs w:val="21"/>
        </w:rPr>
        <w:t xml:space="preserve">6. Base legal citada</w:t>
      </w:r>
    </w:p>
    <w:p>
      <w:r>
        <w:br w:type="page"/>
      </w:r>
    </w:p>
    <w:p>
      <w:pPr>
        <w:pStyle w:val="Heading1"/>
      </w:pPr>
      <w:r>
        <w:rPr>
          <w:rFonts w:ascii="Arial" w:cs="Arial" w:eastAsia="Arial" w:hAnsi="Arial"/>
        </w:rPr>
        <w:t xml:space="preserve">1. Nota metodológica</w:t>
      </w:r>
    </w:p>
    <w:p>
      <w:pPr>
        <w:spacing w:after="140" w:line="288"/>
        <w:jc w:val="both"/>
      </w:pPr>
      <w:r>
        <w:rPr>
          <w:rFonts w:ascii="Arial" w:cs="Arial" w:eastAsia="Arial" w:hAnsi="Arial"/>
        </w:rPr>
        <w:t xml:space="preserve">Todas as fontes foram acessadas em 19 e 20 de outubro de 2026. Quando um dado oficial foi localizado por meio de reportagem que noticiou a divulgação, a referência indica o órgão produtor e o veículo consultado. Nenhum dado, lei ou acontecimento foi inventado. As estimativas da campanha (Volumes 03, 04, 06 e 07) são identificadas como tais e não constam desta lista como fontes.</w:t>
      </w:r>
    </w:p>
    <w:p>
      <w:pPr>
        <w:pStyle w:val="Heading1"/>
      </w:pPr>
      <w:r>
        <w:rPr>
          <w:rFonts w:ascii="Arial" w:cs="Arial" w:eastAsia="Arial" w:hAnsi="Arial"/>
        </w:rPr>
        <w:t xml:space="preserve">2. Economia e contas públicas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69"/>
        <w:gridCol w:w="6169"/>
      </w:tblGrid>
      <w:tr>
        <w:trPr>
          <w:cantSplit/>
          <w:tblHeader/>
        </w:trPr>
        <w:tc>
          <w:tcPr>
            <w:tcW w:type="dxa" w:w="3469"/>
            <w:tcBorders>
              <w:top w:val="single" w:color="B8C6CB" w:sz="4"/>
              <w:left w:val="single" w:color="B8C6CB" w:sz="4"/>
              <w:bottom w:val="single" w:color="B8C6CB" w:sz="4"/>
              <w:right w:val="single" w:color="B8C6CB" w:sz="4"/>
            </w:tcBorders>
            <w:shd w:fill="0F4C5C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52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Dado</w:t>
            </w:r>
          </w:p>
        </w:tc>
        <w:tc>
          <w:tcPr>
            <w:tcW w:type="dxa" w:w="6169"/>
            <w:tcBorders>
              <w:top w:val="single" w:color="B8C6CB" w:sz="4"/>
              <w:left w:val="single" w:color="B8C6CB" w:sz="4"/>
              <w:bottom w:val="single" w:color="B8C6CB" w:sz="4"/>
              <w:right w:val="single" w:color="B8C6CB" w:sz="4"/>
            </w:tcBorders>
            <w:shd w:fill="0F4C5C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52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Fonte e endereço</w:t>
            </w:r>
          </w:p>
        </w:tc>
      </w:tr>
      <w:tr>
        <w:trPr>
          <w:cantSplit/>
          <w:tblHeader w:val="off"/>
        </w:trPr>
        <w:tc>
          <w:tcPr>
            <w:tcW w:type="dxa" w:w="3469"/>
            <w:tcBorders>
              <w:top w:val="single" w:color="B8C6CB" w:sz="4"/>
              <w:left w:val="single" w:color="B8C6CB" w:sz="4"/>
              <w:bottom w:val="single" w:color="B8C6CB" w:sz="4"/>
              <w:right w:val="single" w:color="B8C6C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52"/>
            </w:pPr>
            <w:r>
              <w:rPr>
                <w:rFonts w:ascii="Arial" w:cs="Arial" w:eastAsia="Arial" w:hAnsi="Arial"/>
                <w:color w:val="1E2A30"/>
                <w:sz w:val="18"/>
                <w:szCs w:val="18"/>
              </w:rPr>
              <w:t xml:space="preserve">PIB do 2º trimestre de 2026 (+0,5% t/t; +2,0% a/a; 1,9% em 4 trimestres; investimento de 16,1% do PIB)</w:t>
            </w:r>
          </w:p>
        </w:tc>
        <w:tc>
          <w:tcPr>
            <w:tcW w:type="dxa" w:w="6169"/>
            <w:tcBorders>
              <w:top w:val="single" w:color="B8C6CB" w:sz="4"/>
              <w:left w:val="single" w:color="B8C6CB" w:sz="4"/>
              <w:bottom w:val="single" w:color="B8C6CB" w:sz="4"/>
              <w:right w:val="single" w:color="B8C6C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52"/>
            </w:pPr>
            <w:r>
              <w:rPr>
                <w:rFonts w:ascii="Arial" w:cs="Arial" w:eastAsia="Arial" w:hAnsi="Arial"/>
                <w:color w:val="1E2A30"/>
                <w:sz w:val="18"/>
                <w:szCs w:val="18"/>
              </w:rPr>
              <w:t xml:space="preserve">IBGE, Contas Nacionais Trimestrais, divulgação de 01/09/2026, via Agência Gov: agenciagov.ebc.com.br/noticias/202609/pib-cresce-0-5-no-segundo-trimestre-aponta-ibge — release IBGE nº 47902</w:t>
            </w:r>
          </w:p>
        </w:tc>
      </w:tr>
      <w:tr>
        <w:trPr>
          <w:cantSplit/>
          <w:tblHeader w:val="off"/>
        </w:trPr>
        <w:tc>
          <w:tcPr>
            <w:tcW w:type="dxa" w:w="3469"/>
            <w:tcBorders>
              <w:top w:val="single" w:color="B8C6CB" w:sz="4"/>
              <w:left w:val="single" w:color="B8C6CB" w:sz="4"/>
              <w:bottom w:val="single" w:color="B8C6CB" w:sz="4"/>
              <w:right w:val="single" w:color="B8C6CB" w:sz="4"/>
            </w:tcBorders>
            <w:shd w:fill="F5F8F9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52"/>
            </w:pPr>
            <w:r>
              <w:rPr>
                <w:rFonts w:ascii="Arial" w:cs="Arial" w:eastAsia="Arial" w:hAnsi="Arial"/>
                <w:color w:val="1E2A30"/>
                <w:sz w:val="18"/>
                <w:szCs w:val="18"/>
              </w:rPr>
              <w:t xml:space="preserve">PIB: desaceleração após 1,1% no 1º trimestre</w:t>
            </w:r>
          </w:p>
        </w:tc>
        <w:tc>
          <w:tcPr>
            <w:tcW w:type="dxa" w:w="6169"/>
            <w:tcBorders>
              <w:top w:val="single" w:color="B8C6CB" w:sz="4"/>
              <w:left w:val="single" w:color="B8C6CB" w:sz="4"/>
              <w:bottom w:val="single" w:color="B8C6CB" w:sz="4"/>
              <w:right w:val="single" w:color="B8C6CB" w:sz="4"/>
            </w:tcBorders>
            <w:shd w:fill="F5F8F9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52"/>
            </w:pPr>
            <w:r>
              <w:rPr>
                <w:rFonts w:ascii="Arial" w:cs="Arial" w:eastAsia="Arial" w:hAnsi="Arial"/>
                <w:color w:val="1E2A30"/>
                <w:sz w:val="18"/>
                <w:szCs w:val="18"/>
              </w:rPr>
              <w:t xml:space="preserve">O Popular, 01/09/2026: opopular.com.br/economia/pib-do-brasil-desacelera-a-0-5-no-segundo-trimestre-1.3451074</w:t>
            </w:r>
          </w:p>
        </w:tc>
      </w:tr>
      <w:tr>
        <w:trPr>
          <w:cantSplit/>
          <w:tblHeader w:val="off"/>
        </w:trPr>
        <w:tc>
          <w:tcPr>
            <w:tcW w:type="dxa" w:w="3469"/>
            <w:tcBorders>
              <w:top w:val="single" w:color="B8C6CB" w:sz="4"/>
              <w:left w:val="single" w:color="B8C6CB" w:sz="4"/>
              <w:bottom w:val="single" w:color="B8C6CB" w:sz="4"/>
              <w:right w:val="single" w:color="B8C6C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52"/>
            </w:pPr>
            <w:r>
              <w:rPr>
                <w:rFonts w:ascii="Arial" w:cs="Arial" w:eastAsia="Arial" w:hAnsi="Arial"/>
                <w:color w:val="1E2A30"/>
                <w:sz w:val="18"/>
                <w:szCs w:val="18"/>
              </w:rPr>
              <w:t xml:space="preserve">Extrativa +12% e taxa de poupança</w:t>
            </w:r>
          </w:p>
        </w:tc>
        <w:tc>
          <w:tcPr>
            <w:tcW w:type="dxa" w:w="6169"/>
            <w:tcBorders>
              <w:top w:val="single" w:color="B8C6CB" w:sz="4"/>
              <w:left w:val="single" w:color="B8C6CB" w:sz="4"/>
              <w:bottom w:val="single" w:color="B8C6CB" w:sz="4"/>
              <w:right w:val="single" w:color="B8C6C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52"/>
            </w:pPr>
            <w:r>
              <w:rPr>
                <w:rFonts w:ascii="Arial" w:cs="Arial" w:eastAsia="Arial" w:hAnsi="Arial"/>
                <w:color w:val="1E2A30"/>
                <w:sz w:val="18"/>
                <w:szCs w:val="18"/>
              </w:rPr>
              <w:t xml:space="preserve">Movimento Econômico, com Agência IBGE: movimentoeconomico.com.br/?p=127311</w:t>
            </w:r>
          </w:p>
        </w:tc>
      </w:tr>
      <w:tr>
        <w:trPr>
          <w:cantSplit/>
          <w:tblHeader w:val="off"/>
        </w:trPr>
        <w:tc>
          <w:tcPr>
            <w:tcW w:type="dxa" w:w="3469"/>
            <w:tcBorders>
              <w:top w:val="single" w:color="B8C6CB" w:sz="4"/>
              <w:left w:val="single" w:color="B8C6CB" w:sz="4"/>
              <w:bottom w:val="single" w:color="B8C6CB" w:sz="4"/>
              <w:right w:val="single" w:color="B8C6CB" w:sz="4"/>
            </w:tcBorders>
            <w:shd w:fill="F5F8F9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52"/>
            </w:pPr>
            <w:r>
              <w:rPr>
                <w:rFonts w:ascii="Arial" w:cs="Arial" w:eastAsia="Arial" w:hAnsi="Arial"/>
                <w:color w:val="1E2A30"/>
                <w:sz w:val="18"/>
                <w:szCs w:val="18"/>
              </w:rPr>
              <w:t xml:space="preserve">Copom reduz Selic a 13,75% (281ª reunião, 16/09/2026) e projeções do Copom</w:t>
            </w:r>
          </w:p>
        </w:tc>
        <w:tc>
          <w:tcPr>
            <w:tcW w:type="dxa" w:w="6169"/>
            <w:tcBorders>
              <w:top w:val="single" w:color="B8C6CB" w:sz="4"/>
              <w:left w:val="single" w:color="B8C6CB" w:sz="4"/>
              <w:bottom w:val="single" w:color="B8C6CB" w:sz="4"/>
              <w:right w:val="single" w:color="B8C6CB" w:sz="4"/>
            </w:tcBorders>
            <w:shd w:fill="F5F8F9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52"/>
            </w:pPr>
            <w:r>
              <w:rPr>
                <w:rFonts w:ascii="Arial" w:cs="Arial" w:eastAsia="Arial" w:hAnsi="Arial"/>
                <w:color w:val="1E2A30"/>
                <w:sz w:val="18"/>
                <w:szCs w:val="18"/>
              </w:rPr>
              <w:t xml:space="preserve">Atlas Público, a partir de comunicado do Banco Central: atlaspublico.com.br/bcb/noticias/copom-reduz-selic-para-13-75pct-ao-ano-em-decisao-unanime-87748</w:t>
            </w:r>
          </w:p>
        </w:tc>
      </w:tr>
      <w:tr>
        <w:trPr>
          <w:cantSplit/>
          <w:tblHeader w:val="off"/>
        </w:trPr>
        <w:tc>
          <w:tcPr>
            <w:tcW w:type="dxa" w:w="3469"/>
            <w:tcBorders>
              <w:top w:val="single" w:color="B8C6CB" w:sz="4"/>
              <w:left w:val="single" w:color="B8C6CB" w:sz="4"/>
              <w:bottom w:val="single" w:color="B8C6CB" w:sz="4"/>
              <w:right w:val="single" w:color="B8C6C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52"/>
            </w:pPr>
            <w:r>
              <w:rPr>
                <w:rFonts w:ascii="Arial" w:cs="Arial" w:eastAsia="Arial" w:hAnsi="Arial"/>
                <w:color w:val="1E2A30"/>
                <w:sz w:val="18"/>
                <w:szCs w:val="18"/>
              </w:rPr>
              <w:t xml:space="preserve">Histórico do ciclo de cortes (15% → 14,75% → 14,50% → 14,25%)</w:t>
            </w:r>
          </w:p>
        </w:tc>
        <w:tc>
          <w:tcPr>
            <w:tcW w:type="dxa" w:w="6169"/>
            <w:tcBorders>
              <w:top w:val="single" w:color="B8C6CB" w:sz="4"/>
              <w:left w:val="single" w:color="B8C6CB" w:sz="4"/>
              <w:bottom w:val="single" w:color="B8C6CB" w:sz="4"/>
              <w:right w:val="single" w:color="B8C6C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52"/>
            </w:pPr>
            <w:r>
              <w:rPr>
                <w:rFonts w:ascii="Arial" w:cs="Arial" w:eastAsia="Arial" w:hAnsi="Arial"/>
                <w:color w:val="1E2A30"/>
                <w:sz w:val="18"/>
                <w:szCs w:val="18"/>
              </w:rPr>
              <w:t xml:space="preserve">Toro Investimentos: blog.toroinvestimentos.com.br/renda-fixa/selic-vai-subir-baixar/</w:t>
            </w:r>
          </w:p>
        </w:tc>
      </w:tr>
      <w:tr>
        <w:trPr>
          <w:cantSplit/>
          <w:tblHeader w:val="off"/>
        </w:trPr>
        <w:tc>
          <w:tcPr>
            <w:tcW w:type="dxa" w:w="3469"/>
            <w:tcBorders>
              <w:top w:val="single" w:color="B8C6CB" w:sz="4"/>
              <w:left w:val="single" w:color="B8C6CB" w:sz="4"/>
              <w:bottom w:val="single" w:color="B8C6CB" w:sz="4"/>
              <w:right w:val="single" w:color="B8C6CB" w:sz="4"/>
            </w:tcBorders>
            <w:shd w:fill="F5F8F9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52"/>
            </w:pPr>
            <w:r>
              <w:rPr>
                <w:rFonts w:ascii="Arial" w:cs="Arial" w:eastAsia="Arial" w:hAnsi="Arial"/>
                <w:color w:val="1E2A30"/>
                <w:sz w:val="18"/>
                <w:szCs w:val="18"/>
              </w:rPr>
              <w:t xml:space="preserve">Calendário do Copom (próxima reunião em 3–4/11/2026)</w:t>
            </w:r>
          </w:p>
        </w:tc>
        <w:tc>
          <w:tcPr>
            <w:tcW w:type="dxa" w:w="6169"/>
            <w:tcBorders>
              <w:top w:val="single" w:color="B8C6CB" w:sz="4"/>
              <w:left w:val="single" w:color="B8C6CB" w:sz="4"/>
              <w:bottom w:val="single" w:color="B8C6CB" w:sz="4"/>
              <w:right w:val="single" w:color="B8C6CB" w:sz="4"/>
            </w:tcBorders>
            <w:shd w:fill="F5F8F9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52"/>
            </w:pPr>
            <w:r>
              <w:rPr>
                <w:rFonts w:ascii="Arial" w:cs="Arial" w:eastAsia="Arial" w:hAnsi="Arial"/>
                <w:color w:val="1E2A30"/>
                <w:sz w:val="18"/>
                <w:szCs w:val="18"/>
              </w:rPr>
              <w:t xml:space="preserve">Metrópoles, 05/08/2026: metropoles.com/negocios/copom-nao-da-pistas-ao-mercado-sobre-valor-da-selic-em-setembro</w:t>
            </w:r>
          </w:p>
        </w:tc>
      </w:tr>
      <w:tr>
        <w:trPr>
          <w:cantSplit/>
          <w:tblHeader w:val="off"/>
        </w:trPr>
        <w:tc>
          <w:tcPr>
            <w:tcW w:type="dxa" w:w="3469"/>
            <w:tcBorders>
              <w:top w:val="single" w:color="B8C6CB" w:sz="4"/>
              <w:left w:val="single" w:color="B8C6CB" w:sz="4"/>
              <w:bottom w:val="single" w:color="B8C6CB" w:sz="4"/>
              <w:right w:val="single" w:color="B8C6C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52"/>
            </w:pPr>
            <w:r>
              <w:rPr>
                <w:rFonts w:ascii="Arial" w:cs="Arial" w:eastAsia="Arial" w:hAnsi="Arial"/>
                <w:color w:val="1E2A30"/>
                <w:sz w:val="18"/>
                <w:szCs w:val="18"/>
              </w:rPr>
              <w:t xml:space="preserve">IPCA de setembro de 2026 (0,82%; 4,58% em 12 meses; 3,95% no ano; energia +7,98%)</w:t>
            </w:r>
          </w:p>
        </w:tc>
        <w:tc>
          <w:tcPr>
            <w:tcW w:type="dxa" w:w="6169"/>
            <w:tcBorders>
              <w:top w:val="single" w:color="B8C6CB" w:sz="4"/>
              <w:left w:val="single" w:color="B8C6CB" w:sz="4"/>
              <w:bottom w:val="single" w:color="B8C6CB" w:sz="4"/>
              <w:right w:val="single" w:color="B8C6C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52"/>
            </w:pPr>
            <w:r>
              <w:rPr>
                <w:rFonts w:ascii="Arial" w:cs="Arial" w:eastAsia="Arial" w:hAnsi="Arial"/>
                <w:color w:val="1E2A30"/>
                <w:sz w:val="18"/>
                <w:szCs w:val="18"/>
              </w:rPr>
              <w:t xml:space="preserve">IBGE, 09/10/2026, via Brasil 61: brasil61.com/n/ipca-sobe-0-82-em-setembro-pressionado-pela-energia-eletrica-e-pelos-alimentos-bras2617281 ; Jornal do Comércio: jornaldocomercio.com/economia/2026/10/1266395-ipca-sobe-mais-do-que-o-esperado-em-setembro-e-fica-acima-da-meta-de-inflacao.html</w:t>
            </w:r>
          </w:p>
        </w:tc>
      </w:tr>
      <w:tr>
        <w:trPr>
          <w:cantSplit/>
          <w:tblHeader w:val="off"/>
        </w:trPr>
        <w:tc>
          <w:tcPr>
            <w:tcW w:type="dxa" w:w="3469"/>
            <w:tcBorders>
              <w:top w:val="single" w:color="B8C6CB" w:sz="4"/>
              <w:left w:val="single" w:color="B8C6CB" w:sz="4"/>
              <w:bottom w:val="single" w:color="B8C6CB" w:sz="4"/>
              <w:right w:val="single" w:color="B8C6CB" w:sz="4"/>
            </w:tcBorders>
            <w:shd w:fill="F5F8F9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52"/>
            </w:pPr>
            <w:r>
              <w:rPr>
                <w:rFonts w:ascii="Arial" w:cs="Arial" w:eastAsia="Arial" w:hAnsi="Arial"/>
                <w:color w:val="1E2A30"/>
                <w:sz w:val="18"/>
                <w:szCs w:val="18"/>
              </w:rPr>
              <w:t xml:space="preserve">Focus: IPCA 2026 de 4,92%, 2027 de 4,30%</w:t>
            </w:r>
          </w:p>
        </w:tc>
        <w:tc>
          <w:tcPr>
            <w:tcW w:type="dxa" w:w="6169"/>
            <w:tcBorders>
              <w:top w:val="single" w:color="B8C6CB" w:sz="4"/>
              <w:left w:val="single" w:color="B8C6CB" w:sz="4"/>
              <w:bottom w:val="single" w:color="B8C6CB" w:sz="4"/>
              <w:right w:val="single" w:color="B8C6CB" w:sz="4"/>
            </w:tcBorders>
            <w:shd w:fill="F5F8F9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52"/>
            </w:pPr>
            <w:r>
              <w:rPr>
                <w:rFonts w:ascii="Arial" w:cs="Arial" w:eastAsia="Arial" w:hAnsi="Arial"/>
                <w:color w:val="1E2A30"/>
                <w:sz w:val="18"/>
                <w:szCs w:val="18"/>
              </w:rPr>
              <w:t xml:space="preserve">Banco Central, Boletim Focus (18/09/2026), via Meus Dividendos: meusdividendos.com/indicadores/ipca</w:t>
            </w:r>
          </w:p>
        </w:tc>
      </w:tr>
      <w:tr>
        <w:trPr>
          <w:cantSplit/>
          <w:tblHeader w:val="off"/>
        </w:trPr>
        <w:tc>
          <w:tcPr>
            <w:tcW w:type="dxa" w:w="3469"/>
            <w:tcBorders>
              <w:top w:val="single" w:color="B8C6CB" w:sz="4"/>
              <w:left w:val="single" w:color="B8C6CB" w:sz="4"/>
              <w:bottom w:val="single" w:color="B8C6CB" w:sz="4"/>
              <w:right w:val="single" w:color="B8C6C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52"/>
            </w:pPr>
            <w:r>
              <w:rPr>
                <w:rFonts w:ascii="Arial" w:cs="Arial" w:eastAsia="Arial" w:hAnsi="Arial"/>
                <w:color w:val="1E2A30"/>
                <w:sz w:val="18"/>
                <w:szCs w:val="18"/>
              </w:rPr>
              <w:t xml:space="preserve">Dívida bruta de 82,9% do PIB em agosto de 2026, juros de 8,86% do PIB, déficit primário</w:t>
            </w:r>
          </w:p>
        </w:tc>
        <w:tc>
          <w:tcPr>
            <w:tcW w:type="dxa" w:w="6169"/>
            <w:tcBorders>
              <w:top w:val="single" w:color="B8C6CB" w:sz="4"/>
              <w:left w:val="single" w:color="B8C6CB" w:sz="4"/>
              <w:bottom w:val="single" w:color="B8C6CB" w:sz="4"/>
              <w:right w:val="single" w:color="B8C6C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52"/>
            </w:pPr>
            <w:r>
              <w:rPr>
                <w:rFonts w:ascii="Arial" w:cs="Arial" w:eastAsia="Arial" w:hAnsi="Arial"/>
                <w:color w:val="1E2A30"/>
                <w:sz w:val="18"/>
                <w:szCs w:val="18"/>
              </w:rPr>
              <w:t xml:space="preserve">Banco Central, Estatísticas Fiscais (30/09/2026), via Poder360: poder360.com.br/poder-economia/divida-bruta-atinge-829-do-pib-em-agosto-diz-banco-central/ ; Atlas Público: atlaspublico.com.br/bcb/noticias/divida-bruta-do-governo-sobe-para-82-86pct-do-pib-em-agosto-90197</w:t>
            </w:r>
          </w:p>
        </w:tc>
      </w:tr>
      <w:tr>
        <w:trPr>
          <w:cantSplit/>
          <w:tblHeader w:val="off"/>
        </w:trPr>
        <w:tc>
          <w:tcPr>
            <w:tcW w:type="dxa" w:w="3469"/>
            <w:tcBorders>
              <w:top w:val="single" w:color="B8C6CB" w:sz="4"/>
              <w:left w:val="single" w:color="B8C6CB" w:sz="4"/>
              <w:bottom w:val="single" w:color="B8C6CB" w:sz="4"/>
              <w:right w:val="single" w:color="B8C6CB" w:sz="4"/>
            </w:tcBorders>
            <w:shd w:fill="F5F8F9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52"/>
            </w:pPr>
            <w:r>
              <w:rPr>
                <w:rFonts w:ascii="Arial" w:cs="Arial" w:eastAsia="Arial" w:hAnsi="Arial"/>
                <w:color w:val="1E2A30"/>
                <w:sz w:val="18"/>
                <w:szCs w:val="18"/>
              </w:rPr>
              <w:t xml:space="preserve">Série histórica da dívida (73,83% em 2023; 76,27% em 2024; 78,64% em 2025) e projeções de mercado</w:t>
            </w:r>
          </w:p>
        </w:tc>
        <w:tc>
          <w:tcPr>
            <w:tcW w:type="dxa" w:w="6169"/>
            <w:tcBorders>
              <w:top w:val="single" w:color="B8C6CB" w:sz="4"/>
              <w:left w:val="single" w:color="B8C6CB" w:sz="4"/>
              <w:bottom w:val="single" w:color="B8C6CB" w:sz="4"/>
              <w:right w:val="single" w:color="B8C6CB" w:sz="4"/>
            </w:tcBorders>
            <w:shd w:fill="F5F8F9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52"/>
            </w:pPr>
            <w:r>
              <w:rPr>
                <w:rFonts w:ascii="Arial" w:cs="Arial" w:eastAsia="Arial" w:hAnsi="Arial"/>
                <w:color w:val="1E2A30"/>
                <w:sz w:val="18"/>
                <w:szCs w:val="18"/>
              </w:rPr>
              <w:t xml:space="preserve">A Crítica: acritica.net/economia/divida-bruta-sobe-a-8286-do-pib-e-mercado-projeta-avanco-acima-de-90-em-2028/</w:t>
            </w:r>
          </w:p>
        </w:tc>
      </w:tr>
      <w:tr>
        <w:trPr>
          <w:cantSplit/>
          <w:tblHeader w:val="off"/>
        </w:trPr>
        <w:tc>
          <w:tcPr>
            <w:tcW w:type="dxa" w:w="3469"/>
            <w:tcBorders>
              <w:top w:val="single" w:color="B8C6CB" w:sz="4"/>
              <w:left w:val="single" w:color="B8C6CB" w:sz="4"/>
              <w:bottom w:val="single" w:color="B8C6CB" w:sz="4"/>
              <w:right w:val="single" w:color="B8C6C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52"/>
            </w:pPr>
            <w:r>
              <w:rPr>
                <w:rFonts w:ascii="Arial" w:cs="Arial" w:eastAsia="Arial" w:hAnsi="Arial"/>
                <w:color w:val="1E2A30"/>
                <w:sz w:val="18"/>
                <w:szCs w:val="18"/>
              </w:rPr>
              <w:t xml:space="preserve">DLSP de 69,3% e resultado de agosto</w:t>
            </w:r>
          </w:p>
        </w:tc>
        <w:tc>
          <w:tcPr>
            <w:tcW w:type="dxa" w:w="6169"/>
            <w:tcBorders>
              <w:top w:val="single" w:color="B8C6CB" w:sz="4"/>
              <w:left w:val="single" w:color="B8C6CB" w:sz="4"/>
              <w:bottom w:val="single" w:color="B8C6CB" w:sz="4"/>
              <w:right w:val="single" w:color="B8C6C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52"/>
            </w:pPr>
            <w:r>
              <w:rPr>
                <w:rFonts w:ascii="Arial" w:cs="Arial" w:eastAsia="Arial" w:hAnsi="Arial"/>
                <w:color w:val="1E2A30"/>
                <w:sz w:val="18"/>
                <w:szCs w:val="18"/>
              </w:rPr>
              <w:t xml:space="preserve">Reuters via Money Times: moneytimes.com.br/divida-bruta-do-brasil-sobe-a-829-do-pib-em-agosto/</w:t>
            </w:r>
          </w:p>
        </w:tc>
      </w:tr>
      <w:tr>
        <w:trPr>
          <w:cantSplit/>
          <w:tblHeader w:val="off"/>
        </w:trPr>
        <w:tc>
          <w:tcPr>
            <w:tcW w:type="dxa" w:w="3469"/>
            <w:tcBorders>
              <w:top w:val="single" w:color="B8C6CB" w:sz="4"/>
              <w:left w:val="single" w:color="B8C6CB" w:sz="4"/>
              <w:bottom w:val="single" w:color="B8C6CB" w:sz="4"/>
              <w:right w:val="single" w:color="B8C6CB" w:sz="4"/>
            </w:tcBorders>
            <w:shd w:fill="F5F8F9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52"/>
            </w:pPr>
            <w:r>
              <w:rPr>
                <w:rFonts w:ascii="Arial" w:cs="Arial" w:eastAsia="Arial" w:hAnsi="Arial"/>
                <w:color w:val="1E2A30"/>
                <w:sz w:val="18"/>
                <w:szCs w:val="18"/>
              </w:rPr>
              <w:t xml:space="preserve">PLOA 2027: superávit efetivo de R$ 18,6 bi, metas 2028–2030, salário mínimo de R$ 1.741</w:t>
            </w:r>
          </w:p>
        </w:tc>
        <w:tc>
          <w:tcPr>
            <w:tcW w:type="dxa" w:w="6169"/>
            <w:tcBorders>
              <w:top w:val="single" w:color="B8C6CB" w:sz="4"/>
              <w:left w:val="single" w:color="B8C6CB" w:sz="4"/>
              <w:bottom w:val="single" w:color="B8C6CB" w:sz="4"/>
              <w:right w:val="single" w:color="B8C6CB" w:sz="4"/>
            </w:tcBorders>
            <w:shd w:fill="F5F8F9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52"/>
            </w:pPr>
            <w:r>
              <w:rPr>
                <w:rFonts w:ascii="Arial" w:cs="Arial" w:eastAsia="Arial" w:hAnsi="Arial"/>
                <w:color w:val="1E2A30"/>
                <w:sz w:val="18"/>
                <w:szCs w:val="18"/>
              </w:rPr>
              <w:t xml:space="preserve">Estadão via Diário do Comércio: diariodocomercio.com.br/economia/orcamento-2027-superavit-salario/</w:t>
            </w:r>
          </w:p>
        </w:tc>
      </w:tr>
      <w:tr>
        <w:trPr>
          <w:cantSplit/>
          <w:tblHeader w:val="off"/>
        </w:trPr>
        <w:tc>
          <w:tcPr>
            <w:tcW w:type="dxa" w:w="3469"/>
            <w:tcBorders>
              <w:top w:val="single" w:color="B8C6CB" w:sz="4"/>
              <w:left w:val="single" w:color="B8C6CB" w:sz="4"/>
              <w:bottom w:val="single" w:color="B8C6CB" w:sz="4"/>
              <w:right w:val="single" w:color="B8C6C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52"/>
            </w:pPr>
            <w:r>
              <w:rPr>
                <w:rFonts w:ascii="Arial" w:cs="Arial" w:eastAsia="Arial" w:hAnsi="Arial"/>
                <w:color w:val="1E2A30"/>
                <w:sz w:val="18"/>
                <w:szCs w:val="18"/>
              </w:rPr>
              <w:t xml:space="preserve">PLOA 2027: meta de R$ 73,2 bi, deduções de R$ 64,7 bi, emendas de R$ 44,8 bi, Bolsa Família de R$ 157,1 bi, capitalização dos Correios de R$ 6 bi, receitas da CBS/IS</w:t>
            </w:r>
          </w:p>
        </w:tc>
        <w:tc>
          <w:tcPr>
            <w:tcW w:type="dxa" w:w="6169"/>
            <w:tcBorders>
              <w:top w:val="single" w:color="B8C6CB" w:sz="4"/>
              <w:left w:val="single" w:color="B8C6CB" w:sz="4"/>
              <w:bottom w:val="single" w:color="B8C6CB" w:sz="4"/>
              <w:right w:val="single" w:color="B8C6C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52"/>
            </w:pPr>
            <w:r>
              <w:rPr>
                <w:rFonts w:ascii="Arial" w:cs="Arial" w:eastAsia="Arial" w:hAnsi="Arial"/>
                <w:color w:val="1E2A30"/>
                <w:sz w:val="18"/>
                <w:szCs w:val="18"/>
              </w:rPr>
              <w:t xml:space="preserve">BP Money: bpmoney.com.br/?p=419795 ; XP Investimentos: conteudos.xpi.com.br/politica/news-xpress-01-09-2026/</w:t>
            </w:r>
          </w:p>
        </w:tc>
      </w:tr>
      <w:tr>
        <w:trPr>
          <w:cantSplit/>
          <w:tblHeader w:val="off"/>
        </w:trPr>
        <w:tc>
          <w:tcPr>
            <w:tcW w:type="dxa" w:w="3469"/>
            <w:tcBorders>
              <w:top w:val="single" w:color="B8C6CB" w:sz="4"/>
              <w:left w:val="single" w:color="B8C6CB" w:sz="4"/>
              <w:bottom w:val="single" w:color="B8C6CB" w:sz="4"/>
              <w:right w:val="single" w:color="B8C6CB" w:sz="4"/>
            </w:tcBorders>
            <w:shd w:fill="F5F8F9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52"/>
            </w:pPr>
            <w:r>
              <w:rPr>
                <w:rFonts w:ascii="Arial" w:cs="Arial" w:eastAsia="Arial" w:hAnsi="Arial"/>
                <w:color w:val="1E2A30"/>
                <w:sz w:val="18"/>
                <w:szCs w:val="18"/>
              </w:rPr>
              <w:t xml:space="preserve">Informativo conjunto das consultorias de orçamento sobre o PLOA 2027</w:t>
            </w:r>
          </w:p>
        </w:tc>
        <w:tc>
          <w:tcPr>
            <w:tcW w:type="dxa" w:w="6169"/>
            <w:tcBorders>
              <w:top w:val="single" w:color="B8C6CB" w:sz="4"/>
              <w:left w:val="single" w:color="B8C6CB" w:sz="4"/>
              <w:bottom w:val="single" w:color="B8C6CB" w:sz="4"/>
              <w:right w:val="single" w:color="B8C6CB" w:sz="4"/>
            </w:tcBorders>
            <w:shd w:fill="F5F8F9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52"/>
            </w:pPr>
            <w:r>
              <w:rPr>
                <w:rFonts w:ascii="Arial" w:cs="Arial" w:eastAsia="Arial" w:hAnsi="Arial"/>
                <w:color w:val="1E2A30"/>
                <w:sz w:val="18"/>
                <w:szCs w:val="18"/>
              </w:rPr>
              <w:t xml:space="preserve">Congresso Nacional: congressonacional.leg.br/documents/150599582/159576811/Informativo_conjunto.pdf</w:t>
            </w:r>
          </w:p>
        </w:tc>
      </w:tr>
      <w:tr>
        <w:trPr>
          <w:cantSplit/>
          <w:tblHeader w:val="off"/>
        </w:trPr>
        <w:tc>
          <w:tcPr>
            <w:tcW w:type="dxa" w:w="3469"/>
            <w:tcBorders>
              <w:top w:val="single" w:color="B8C6CB" w:sz="4"/>
              <w:left w:val="single" w:color="B8C6CB" w:sz="4"/>
              <w:bottom w:val="single" w:color="B8C6CB" w:sz="4"/>
              <w:right w:val="single" w:color="B8C6C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52"/>
            </w:pPr>
            <w:r>
              <w:rPr>
                <w:rFonts w:ascii="Arial" w:cs="Arial" w:eastAsia="Arial" w:hAnsi="Arial"/>
                <w:color w:val="1E2A30"/>
                <w:sz w:val="18"/>
                <w:szCs w:val="18"/>
              </w:rPr>
              <w:t xml:space="preserve">Nota Técnica Conjunta nº 4/2026 sobre o PLOA 2027</w:t>
            </w:r>
          </w:p>
        </w:tc>
        <w:tc>
          <w:tcPr>
            <w:tcW w:type="dxa" w:w="6169"/>
            <w:tcBorders>
              <w:top w:val="single" w:color="B8C6CB" w:sz="4"/>
              <w:left w:val="single" w:color="B8C6CB" w:sz="4"/>
              <w:bottom w:val="single" w:color="B8C6CB" w:sz="4"/>
              <w:right w:val="single" w:color="B8C6C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52"/>
            </w:pPr>
            <w:r>
              <w:rPr>
                <w:rFonts w:ascii="Arial" w:cs="Arial" w:eastAsia="Arial" w:hAnsi="Arial"/>
                <w:color w:val="1E2A30"/>
                <w:sz w:val="18"/>
                <w:szCs w:val="18"/>
              </w:rPr>
              <w:t xml:space="preserve">Congresso Nacional: congressonacional.leg.br/documents/150599582/159576811/NTC_PLOA-2027.pdf</w:t>
            </w:r>
          </w:p>
        </w:tc>
      </w:tr>
      <w:tr>
        <w:trPr>
          <w:cantSplit/>
          <w:tblHeader w:val="off"/>
        </w:trPr>
        <w:tc>
          <w:tcPr>
            <w:tcW w:type="dxa" w:w="3469"/>
            <w:tcBorders>
              <w:top w:val="single" w:color="B8C6CB" w:sz="4"/>
              <w:left w:val="single" w:color="B8C6CB" w:sz="4"/>
              <w:bottom w:val="single" w:color="B8C6CB" w:sz="4"/>
              <w:right w:val="single" w:color="B8C6CB" w:sz="4"/>
            </w:tcBorders>
            <w:shd w:fill="F5F8F9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52"/>
            </w:pPr>
            <w:r>
              <w:rPr>
                <w:rFonts w:ascii="Arial" w:cs="Arial" w:eastAsia="Arial" w:hAnsi="Arial"/>
                <w:color w:val="1E2A30"/>
                <w:sz w:val="18"/>
                <w:szCs w:val="18"/>
              </w:rPr>
              <w:t xml:space="preserve">Resultado estrutural (IFI)</w:t>
            </w:r>
          </w:p>
        </w:tc>
        <w:tc>
          <w:tcPr>
            <w:tcW w:type="dxa" w:w="6169"/>
            <w:tcBorders>
              <w:top w:val="single" w:color="B8C6CB" w:sz="4"/>
              <w:left w:val="single" w:color="B8C6CB" w:sz="4"/>
              <w:bottom w:val="single" w:color="B8C6CB" w:sz="4"/>
              <w:right w:val="single" w:color="B8C6CB" w:sz="4"/>
            </w:tcBorders>
            <w:shd w:fill="F5F8F9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52"/>
            </w:pPr>
            <w:r>
              <w:rPr>
                <w:rFonts w:ascii="Arial" w:cs="Arial" w:eastAsia="Arial" w:hAnsi="Arial"/>
                <w:color w:val="1E2A30"/>
                <w:sz w:val="18"/>
                <w:szCs w:val="18"/>
              </w:rPr>
              <w:t xml:space="preserve">Senado Federal, IFI, Relatório de Acompanhamento Fiscal nº 108 (jan/2026): www12.senado.leg.br/ifi</w:t>
            </w:r>
          </w:p>
        </w:tc>
      </w:tr>
      <w:tr>
        <w:trPr>
          <w:cantSplit/>
          <w:tblHeader w:val="off"/>
        </w:trPr>
        <w:tc>
          <w:tcPr>
            <w:tcW w:type="dxa" w:w="3469"/>
            <w:tcBorders>
              <w:top w:val="single" w:color="B8C6CB" w:sz="4"/>
              <w:left w:val="single" w:color="B8C6CB" w:sz="4"/>
              <w:bottom w:val="single" w:color="B8C6CB" w:sz="4"/>
              <w:right w:val="single" w:color="B8C6C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52"/>
            </w:pPr>
            <w:r>
              <w:rPr>
                <w:rFonts w:ascii="Arial" w:cs="Arial" w:eastAsia="Arial" w:hAnsi="Arial"/>
                <w:color w:val="1E2A30"/>
                <w:sz w:val="18"/>
                <w:szCs w:val="18"/>
              </w:rPr>
              <w:t xml:space="preserve">Panorama fiscal do Ipea (jul/2026)</w:t>
            </w:r>
          </w:p>
        </w:tc>
        <w:tc>
          <w:tcPr>
            <w:tcW w:type="dxa" w:w="6169"/>
            <w:tcBorders>
              <w:top w:val="single" w:color="B8C6CB" w:sz="4"/>
              <w:left w:val="single" w:color="B8C6CB" w:sz="4"/>
              <w:bottom w:val="single" w:color="B8C6CB" w:sz="4"/>
              <w:right w:val="single" w:color="B8C6C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52"/>
            </w:pPr>
            <w:r>
              <w:rPr>
                <w:rFonts w:ascii="Arial" w:cs="Arial" w:eastAsia="Arial" w:hAnsi="Arial"/>
                <w:color w:val="1E2A30"/>
                <w:sz w:val="18"/>
                <w:szCs w:val="18"/>
              </w:rPr>
              <w:t xml:space="preserve">Ipea, Carta de Conjuntura nº 71, Nota 29: ipea.gov.br/cartadeconjuntura</w:t>
            </w:r>
          </w:p>
        </w:tc>
      </w:tr>
      <w:tr>
        <w:trPr>
          <w:cantSplit/>
          <w:tblHeader w:val="off"/>
        </w:trPr>
        <w:tc>
          <w:tcPr>
            <w:tcW w:type="dxa" w:w="3469"/>
            <w:tcBorders>
              <w:top w:val="single" w:color="B8C6CB" w:sz="4"/>
              <w:left w:val="single" w:color="B8C6CB" w:sz="4"/>
              <w:bottom w:val="single" w:color="B8C6CB" w:sz="4"/>
              <w:right w:val="single" w:color="B8C6CB" w:sz="4"/>
            </w:tcBorders>
            <w:shd w:fill="F5F8F9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52"/>
            </w:pPr>
            <w:r>
              <w:rPr>
                <w:rFonts w:ascii="Arial" w:cs="Arial" w:eastAsia="Arial" w:hAnsi="Arial"/>
                <w:color w:val="1E2A30"/>
                <w:sz w:val="18"/>
                <w:szCs w:val="18"/>
              </w:rPr>
              <w:t xml:space="preserve">Carga tributária de 32,40% do PIB em 2025</w:t>
            </w:r>
          </w:p>
        </w:tc>
        <w:tc>
          <w:tcPr>
            <w:tcW w:type="dxa" w:w="6169"/>
            <w:tcBorders>
              <w:top w:val="single" w:color="B8C6CB" w:sz="4"/>
              <w:left w:val="single" w:color="B8C6CB" w:sz="4"/>
              <w:bottom w:val="single" w:color="B8C6CB" w:sz="4"/>
              <w:right w:val="single" w:color="B8C6CB" w:sz="4"/>
            </w:tcBorders>
            <w:shd w:fill="F5F8F9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52"/>
            </w:pPr>
            <w:r>
              <w:rPr>
                <w:rFonts w:ascii="Arial" w:cs="Arial" w:eastAsia="Arial" w:hAnsi="Arial"/>
                <w:color w:val="1E2A30"/>
                <w:sz w:val="18"/>
                <w:szCs w:val="18"/>
              </w:rPr>
              <w:t xml:space="preserve">Tesouro Nacional, Boletim de Estimativa da Carga Tributária Bruta do Governo Geral (10/04/2026), via Folha de Pernambuco: folhape.com.br/noticia/amp/479905/carga-tributaria-do-brasil-sobe-para-324-do-pib-em-2025-maior-valor/</w:t>
            </w:r>
          </w:p>
        </w:tc>
      </w:tr>
      <w:tr>
        <w:trPr>
          <w:cantSplit/>
          <w:tblHeader w:val="off"/>
        </w:trPr>
        <w:tc>
          <w:tcPr>
            <w:tcW w:type="dxa" w:w="3469"/>
            <w:tcBorders>
              <w:top w:val="single" w:color="B8C6CB" w:sz="4"/>
              <w:left w:val="single" w:color="B8C6CB" w:sz="4"/>
              <w:bottom w:val="single" w:color="B8C6CB" w:sz="4"/>
              <w:right w:val="single" w:color="B8C6C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52"/>
            </w:pPr>
            <w:r>
              <w:rPr>
                <w:rFonts w:ascii="Arial" w:cs="Arial" w:eastAsia="Arial" w:hAnsi="Arial"/>
                <w:color w:val="1E2A30"/>
                <w:sz w:val="18"/>
                <w:szCs w:val="18"/>
              </w:rPr>
              <w:t xml:space="preserve">Gastos tributários de R$ 612 bi (PLOA 2026)</w:t>
            </w:r>
          </w:p>
        </w:tc>
        <w:tc>
          <w:tcPr>
            <w:tcW w:type="dxa" w:w="6169"/>
            <w:tcBorders>
              <w:top w:val="single" w:color="B8C6CB" w:sz="4"/>
              <w:left w:val="single" w:color="B8C6CB" w:sz="4"/>
              <w:bottom w:val="single" w:color="B8C6CB" w:sz="4"/>
              <w:right w:val="single" w:color="B8C6C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52"/>
            </w:pPr>
            <w:r>
              <w:rPr>
                <w:rFonts w:ascii="Arial" w:cs="Arial" w:eastAsia="Arial" w:hAnsi="Arial"/>
                <w:color w:val="1E2A30"/>
                <w:sz w:val="18"/>
                <w:szCs w:val="18"/>
              </w:rPr>
              <w:t xml:space="preserve">Receita Federal, via Poder360: poder360.com.br/poder-economia/r-198-bi-do-orcamento-dependem-de-aprovacao-do-congresso/</w:t>
            </w:r>
          </w:p>
        </w:tc>
      </w:tr>
      <w:tr>
        <w:trPr>
          <w:cantSplit/>
          <w:tblHeader w:val="off"/>
        </w:trPr>
        <w:tc>
          <w:tcPr>
            <w:tcW w:type="dxa" w:w="3469"/>
            <w:tcBorders>
              <w:top w:val="single" w:color="B8C6CB" w:sz="4"/>
              <w:left w:val="single" w:color="B8C6CB" w:sz="4"/>
              <w:bottom w:val="single" w:color="B8C6CB" w:sz="4"/>
              <w:right w:val="single" w:color="B8C6CB" w:sz="4"/>
            </w:tcBorders>
            <w:shd w:fill="F5F8F9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52"/>
            </w:pPr>
            <w:r>
              <w:rPr>
                <w:rFonts w:ascii="Arial" w:cs="Arial" w:eastAsia="Arial" w:hAnsi="Arial"/>
                <w:color w:val="1E2A30"/>
                <w:sz w:val="18"/>
                <w:szCs w:val="18"/>
              </w:rPr>
              <w:t xml:space="preserve">Gastos tributários de R$ 620,8 bi (4,53% do PIB) e maiores blocos</w:t>
            </w:r>
          </w:p>
        </w:tc>
        <w:tc>
          <w:tcPr>
            <w:tcW w:type="dxa" w:w="6169"/>
            <w:tcBorders>
              <w:top w:val="single" w:color="B8C6CB" w:sz="4"/>
              <w:left w:val="single" w:color="B8C6CB" w:sz="4"/>
              <w:bottom w:val="single" w:color="B8C6CB" w:sz="4"/>
              <w:right w:val="single" w:color="B8C6CB" w:sz="4"/>
            </w:tcBorders>
            <w:shd w:fill="F5F8F9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52"/>
            </w:pPr>
            <w:r>
              <w:rPr>
                <w:rFonts w:ascii="Arial" w:cs="Arial" w:eastAsia="Arial" w:hAnsi="Arial"/>
                <w:color w:val="1E2A30"/>
                <w:sz w:val="18"/>
                <w:szCs w:val="18"/>
              </w:rPr>
              <w:t xml:space="preserve">Receita Federal, DGT anexo ao PLDO 2026, via Paraíba Business: paraibabusiness.com.br/governo-projeta-r-6208-bilhoes-em-renuncias/</w:t>
            </w:r>
          </w:p>
        </w:tc>
      </w:tr>
    </w:tbl>
    <w:p>
      <w:pPr>
        <w:spacing w:after="120"/>
      </w:pPr>
    </w:p>
    <w:p>
      <w:pPr>
        <w:pStyle w:val="Heading1"/>
      </w:pPr>
      <w:r>
        <w:rPr>
          <w:rFonts w:ascii="Arial" w:cs="Arial" w:eastAsia="Arial" w:hAnsi="Arial"/>
        </w:rPr>
        <w:t xml:space="preserve">3. Trabalho, renda e sociedade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69"/>
        <w:gridCol w:w="6169"/>
      </w:tblGrid>
      <w:tr>
        <w:trPr>
          <w:cantSplit/>
          <w:tblHeader/>
        </w:trPr>
        <w:tc>
          <w:tcPr>
            <w:tcW w:type="dxa" w:w="3469"/>
            <w:tcBorders>
              <w:top w:val="single" w:color="B8C6CB" w:sz="4"/>
              <w:left w:val="single" w:color="B8C6CB" w:sz="4"/>
              <w:bottom w:val="single" w:color="B8C6CB" w:sz="4"/>
              <w:right w:val="single" w:color="B8C6CB" w:sz="4"/>
            </w:tcBorders>
            <w:shd w:fill="0F4C5C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52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Dado</w:t>
            </w:r>
          </w:p>
        </w:tc>
        <w:tc>
          <w:tcPr>
            <w:tcW w:type="dxa" w:w="6169"/>
            <w:tcBorders>
              <w:top w:val="single" w:color="B8C6CB" w:sz="4"/>
              <w:left w:val="single" w:color="B8C6CB" w:sz="4"/>
              <w:bottom w:val="single" w:color="B8C6CB" w:sz="4"/>
              <w:right w:val="single" w:color="B8C6CB" w:sz="4"/>
            </w:tcBorders>
            <w:shd w:fill="0F4C5C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52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Fonte e endereço</w:t>
            </w:r>
          </w:p>
        </w:tc>
      </w:tr>
      <w:tr>
        <w:trPr>
          <w:cantSplit/>
          <w:tblHeader w:val="off"/>
        </w:trPr>
        <w:tc>
          <w:tcPr>
            <w:tcW w:type="dxa" w:w="3469"/>
            <w:tcBorders>
              <w:top w:val="single" w:color="B8C6CB" w:sz="4"/>
              <w:left w:val="single" w:color="B8C6CB" w:sz="4"/>
              <w:bottom w:val="single" w:color="B8C6CB" w:sz="4"/>
              <w:right w:val="single" w:color="B8C6C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52"/>
            </w:pPr>
            <w:r>
              <w:rPr>
                <w:rFonts w:ascii="Arial" w:cs="Arial" w:eastAsia="Arial" w:hAnsi="Arial"/>
                <w:color w:val="1E2A30"/>
                <w:sz w:val="18"/>
                <w:szCs w:val="18"/>
              </w:rPr>
              <w:t xml:space="preserve">Desocupação de 5,4% no 2º tri/2026, informalidade de 37,4%, diferenças regionais</w:t>
            </w:r>
          </w:p>
        </w:tc>
        <w:tc>
          <w:tcPr>
            <w:tcW w:type="dxa" w:w="6169"/>
            <w:tcBorders>
              <w:top w:val="single" w:color="B8C6CB" w:sz="4"/>
              <w:left w:val="single" w:color="B8C6CB" w:sz="4"/>
              <w:bottom w:val="single" w:color="B8C6CB" w:sz="4"/>
              <w:right w:val="single" w:color="B8C6C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52"/>
            </w:pPr>
            <w:r>
              <w:rPr>
                <w:rFonts w:ascii="Arial" w:cs="Arial" w:eastAsia="Arial" w:hAnsi="Arial"/>
                <w:color w:val="1E2A30"/>
                <w:sz w:val="18"/>
                <w:szCs w:val="18"/>
              </w:rPr>
              <w:t xml:space="preserve">IBGE, PNAD Contínua Trimestral, via BP Money: bpmoney.com.br/?p=417000</w:t>
            </w:r>
          </w:p>
        </w:tc>
      </w:tr>
      <w:tr>
        <w:trPr>
          <w:cantSplit/>
          <w:tblHeader w:val="off"/>
        </w:trPr>
        <w:tc>
          <w:tcPr>
            <w:tcW w:type="dxa" w:w="3469"/>
            <w:tcBorders>
              <w:top w:val="single" w:color="B8C6CB" w:sz="4"/>
              <w:left w:val="single" w:color="B8C6CB" w:sz="4"/>
              <w:bottom w:val="single" w:color="B8C6CB" w:sz="4"/>
              <w:right w:val="single" w:color="B8C6CB" w:sz="4"/>
            </w:tcBorders>
            <w:shd w:fill="F5F8F9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52"/>
            </w:pPr>
            <w:r>
              <w:rPr>
                <w:rFonts w:ascii="Arial" w:cs="Arial" w:eastAsia="Arial" w:hAnsi="Arial"/>
                <w:color w:val="1E2A30"/>
                <w:sz w:val="18"/>
                <w:szCs w:val="18"/>
              </w:rPr>
              <w:t xml:space="preserve">Desocupação de 6,1% e informalidade de 37,3% no 1º tri/2026</w:t>
            </w:r>
          </w:p>
        </w:tc>
        <w:tc>
          <w:tcPr>
            <w:tcW w:type="dxa" w:w="6169"/>
            <w:tcBorders>
              <w:top w:val="single" w:color="B8C6CB" w:sz="4"/>
              <w:left w:val="single" w:color="B8C6CB" w:sz="4"/>
              <w:bottom w:val="single" w:color="B8C6CB" w:sz="4"/>
              <w:right w:val="single" w:color="B8C6CB" w:sz="4"/>
            </w:tcBorders>
            <w:shd w:fill="F5F8F9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52"/>
            </w:pPr>
            <w:r>
              <w:rPr>
                <w:rFonts w:ascii="Arial" w:cs="Arial" w:eastAsia="Arial" w:hAnsi="Arial"/>
                <w:color w:val="1E2A30"/>
                <w:sz w:val="18"/>
                <w:szCs w:val="18"/>
              </w:rPr>
              <w:t xml:space="preserve">IBGE, Agência de Notícias: agenciadenoticias.ibge.gov.br/agencia-sala-de-imprensa/46676-pnad-continua-trimestral-desocupacao-sobe-em-15-das-27-ufs-no-1-trimestre-de-2026.html</w:t>
            </w:r>
          </w:p>
        </w:tc>
      </w:tr>
      <w:tr>
        <w:trPr>
          <w:cantSplit/>
          <w:tblHeader w:val="off"/>
        </w:trPr>
        <w:tc>
          <w:tcPr>
            <w:tcW w:type="dxa" w:w="3469"/>
            <w:tcBorders>
              <w:top w:val="single" w:color="B8C6CB" w:sz="4"/>
              <w:left w:val="single" w:color="B8C6CB" w:sz="4"/>
              <w:bottom w:val="single" w:color="B8C6CB" w:sz="4"/>
              <w:right w:val="single" w:color="B8C6C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52"/>
            </w:pPr>
            <w:r>
              <w:rPr>
                <w:rFonts w:ascii="Arial" w:cs="Arial" w:eastAsia="Arial" w:hAnsi="Arial"/>
                <w:color w:val="1E2A30"/>
                <w:sz w:val="18"/>
                <w:szCs w:val="18"/>
              </w:rPr>
              <w:t xml:space="preserve">Massa de rendimento recorde no 1º tri/2026</w:t>
            </w:r>
          </w:p>
        </w:tc>
        <w:tc>
          <w:tcPr>
            <w:tcW w:type="dxa" w:w="6169"/>
            <w:tcBorders>
              <w:top w:val="single" w:color="B8C6CB" w:sz="4"/>
              <w:left w:val="single" w:color="B8C6CB" w:sz="4"/>
              <w:bottom w:val="single" w:color="B8C6CB" w:sz="4"/>
              <w:right w:val="single" w:color="B8C6C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52"/>
            </w:pPr>
            <w:r>
              <w:rPr>
                <w:rFonts w:ascii="Arial" w:cs="Arial" w:eastAsia="Arial" w:hAnsi="Arial"/>
                <w:color w:val="1E2A30"/>
                <w:sz w:val="18"/>
                <w:szCs w:val="18"/>
              </w:rPr>
              <w:t xml:space="preserve">Money Times: moneytimes.com.br/taxa-de-desemprego-atinge-61-no-primeiro-trimestre-de-2026-a-menor-taxa-para-o-periodo/</w:t>
            </w:r>
          </w:p>
        </w:tc>
      </w:tr>
      <w:tr>
        <w:trPr>
          <w:cantSplit/>
          <w:tblHeader w:val="off"/>
        </w:trPr>
        <w:tc>
          <w:tcPr>
            <w:tcW w:type="dxa" w:w="3469"/>
            <w:tcBorders>
              <w:top w:val="single" w:color="B8C6CB" w:sz="4"/>
              <w:left w:val="single" w:color="B8C6CB" w:sz="4"/>
              <w:bottom w:val="single" w:color="B8C6CB" w:sz="4"/>
              <w:right w:val="single" w:color="B8C6CB" w:sz="4"/>
            </w:tcBorders>
            <w:shd w:fill="F5F8F9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52"/>
            </w:pPr>
            <w:r>
              <w:rPr>
                <w:rFonts w:ascii="Arial" w:cs="Arial" w:eastAsia="Arial" w:hAnsi="Arial"/>
                <w:color w:val="1E2A30"/>
                <w:sz w:val="18"/>
                <w:szCs w:val="18"/>
              </w:rPr>
              <w:t xml:space="preserve">Pobreza de 23,1%, extrema pobreza de 3,5%, Gini de 0,504 (2024)</w:t>
            </w:r>
          </w:p>
        </w:tc>
        <w:tc>
          <w:tcPr>
            <w:tcW w:type="dxa" w:w="6169"/>
            <w:tcBorders>
              <w:top w:val="single" w:color="B8C6CB" w:sz="4"/>
              <w:left w:val="single" w:color="B8C6CB" w:sz="4"/>
              <w:bottom w:val="single" w:color="B8C6CB" w:sz="4"/>
              <w:right w:val="single" w:color="B8C6CB" w:sz="4"/>
            </w:tcBorders>
            <w:shd w:fill="F5F8F9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52"/>
            </w:pPr>
            <w:r>
              <w:rPr>
                <w:rFonts w:ascii="Arial" w:cs="Arial" w:eastAsia="Arial" w:hAnsi="Arial"/>
                <w:color w:val="1E2A30"/>
                <w:sz w:val="18"/>
                <w:szCs w:val="18"/>
              </w:rPr>
              <w:t xml:space="preserve">IBGE, Síntese de Indicadores Sociais 2025, via Monitor Mercantil: monitormercantil.com.br/ibge-diz-que-86-milhoes-sairam-da-pobreza-de-2023-a-2024/ ; Metrópoles: metropoles.com/brasil/ibge-mais-de-86-milhoes-deixam-pobreza-em-melhor-numero-desde-2012</w:t>
            </w:r>
          </w:p>
        </w:tc>
      </w:tr>
      <w:tr>
        <w:trPr>
          <w:cantSplit/>
          <w:tblHeader w:val="off"/>
        </w:trPr>
        <w:tc>
          <w:tcPr>
            <w:tcW w:type="dxa" w:w="3469"/>
            <w:tcBorders>
              <w:top w:val="single" w:color="B8C6CB" w:sz="4"/>
              <w:left w:val="single" w:color="B8C6CB" w:sz="4"/>
              <w:bottom w:val="single" w:color="B8C6CB" w:sz="4"/>
              <w:right w:val="single" w:color="B8C6C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52"/>
            </w:pPr>
            <w:r>
              <w:rPr>
                <w:rFonts w:ascii="Arial" w:cs="Arial" w:eastAsia="Arial" w:hAnsi="Arial"/>
                <w:color w:val="1E2A30"/>
                <w:sz w:val="18"/>
                <w:szCs w:val="18"/>
              </w:rPr>
              <w:t xml:space="preserve">PEC 221/2019 (fim da escala 6×1): aprovação no Senado por 75 a 1 e regras de transição</w:t>
            </w:r>
          </w:p>
        </w:tc>
        <w:tc>
          <w:tcPr>
            <w:tcW w:type="dxa" w:w="6169"/>
            <w:tcBorders>
              <w:top w:val="single" w:color="B8C6CB" w:sz="4"/>
              <w:left w:val="single" w:color="B8C6CB" w:sz="4"/>
              <w:bottom w:val="single" w:color="B8C6CB" w:sz="4"/>
              <w:right w:val="single" w:color="B8C6C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52"/>
            </w:pPr>
            <w:r>
              <w:rPr>
                <w:rFonts w:ascii="Arial" w:cs="Arial" w:eastAsia="Arial" w:hAnsi="Arial"/>
                <w:color w:val="1E2A30"/>
                <w:sz w:val="18"/>
                <w:szCs w:val="18"/>
              </w:rPr>
              <w:t xml:space="preserve">Poder360: poder360.com.br/poder-congresso/saiba-como-votou-cada-senador-sobre-o-fim-da-escala-6-x-1/ ; DGABC: dgabc.com.br/Noticia/4352797/senado-aprova-fim-da-escala-6x1-e-reducao-da-jornada-para-40-horas</w:t>
            </w:r>
          </w:p>
        </w:tc>
      </w:tr>
      <w:tr>
        <w:trPr>
          <w:cantSplit/>
          <w:tblHeader w:val="off"/>
        </w:trPr>
        <w:tc>
          <w:tcPr>
            <w:tcW w:type="dxa" w:w="3469"/>
            <w:tcBorders>
              <w:top w:val="single" w:color="B8C6CB" w:sz="4"/>
              <w:left w:val="single" w:color="B8C6CB" w:sz="4"/>
              <w:bottom w:val="single" w:color="B8C6CB" w:sz="4"/>
              <w:right w:val="single" w:color="B8C6CB" w:sz="4"/>
            </w:tcBorders>
            <w:shd w:fill="F5F8F9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52"/>
            </w:pPr>
            <w:r>
              <w:rPr>
                <w:rFonts w:ascii="Arial" w:cs="Arial" w:eastAsia="Arial" w:hAnsi="Arial"/>
                <w:color w:val="1E2A30"/>
                <w:sz w:val="18"/>
                <w:szCs w:val="18"/>
              </w:rPr>
              <w:t xml:space="preserve">Promulgação anunciada para 16/10/2026</w:t>
            </w:r>
          </w:p>
        </w:tc>
        <w:tc>
          <w:tcPr>
            <w:tcW w:type="dxa" w:w="6169"/>
            <w:tcBorders>
              <w:top w:val="single" w:color="B8C6CB" w:sz="4"/>
              <w:left w:val="single" w:color="B8C6CB" w:sz="4"/>
              <w:bottom w:val="single" w:color="B8C6CB" w:sz="4"/>
              <w:right w:val="single" w:color="B8C6CB" w:sz="4"/>
            </w:tcBorders>
            <w:shd w:fill="F5F8F9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52"/>
            </w:pPr>
            <w:r>
              <w:rPr>
                <w:rFonts w:ascii="Arial" w:cs="Arial" w:eastAsia="Arial" w:hAnsi="Arial"/>
                <w:color w:val="1E2A30"/>
                <w:sz w:val="18"/>
                <w:szCs w:val="18"/>
              </w:rPr>
              <w:t xml:space="preserve">BP Money: bpmoney.com.br/?p=427617</w:t>
            </w:r>
          </w:p>
        </w:tc>
      </w:tr>
      <w:tr>
        <w:trPr>
          <w:cantSplit/>
          <w:tblHeader w:val="off"/>
        </w:trPr>
        <w:tc>
          <w:tcPr>
            <w:tcW w:type="dxa" w:w="3469"/>
            <w:tcBorders>
              <w:top w:val="single" w:color="B8C6CB" w:sz="4"/>
              <w:left w:val="single" w:color="B8C6CB" w:sz="4"/>
              <w:bottom w:val="single" w:color="B8C6CB" w:sz="4"/>
              <w:right w:val="single" w:color="B8C6C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52"/>
            </w:pPr>
            <w:r>
              <w:rPr>
                <w:rFonts w:ascii="Arial" w:cs="Arial" w:eastAsia="Arial" w:hAnsi="Arial"/>
                <w:color w:val="1E2A30"/>
                <w:sz w:val="18"/>
                <w:szCs w:val="18"/>
              </w:rPr>
              <w:t xml:space="preserve">Saneamento: água 83,1%, esgoto 55,2%, tratamento 51,8% (SINISA 2023)</w:t>
            </w:r>
          </w:p>
        </w:tc>
        <w:tc>
          <w:tcPr>
            <w:tcW w:type="dxa" w:w="6169"/>
            <w:tcBorders>
              <w:top w:val="single" w:color="B8C6CB" w:sz="4"/>
              <w:left w:val="single" w:color="B8C6CB" w:sz="4"/>
              <w:bottom w:val="single" w:color="B8C6CB" w:sz="4"/>
              <w:right w:val="single" w:color="B8C6C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52"/>
            </w:pPr>
            <w:r>
              <w:rPr>
                <w:rFonts w:ascii="Arial" w:cs="Arial" w:eastAsia="Arial" w:hAnsi="Arial"/>
                <w:color w:val="1E2A30"/>
                <w:sz w:val="18"/>
                <w:szCs w:val="18"/>
              </w:rPr>
              <w:t xml:space="preserve">Instituto Trata Brasil, Ranking do Saneamento 2025: tratabrasil.org.br/wp-content/uploads/2025/07/Release-Ranking-2025_final1-1.pdf</w:t>
            </w:r>
          </w:p>
        </w:tc>
      </w:tr>
      <w:tr>
        <w:trPr>
          <w:cantSplit/>
          <w:tblHeader w:val="off"/>
        </w:trPr>
        <w:tc>
          <w:tcPr>
            <w:tcW w:type="dxa" w:w="3469"/>
            <w:tcBorders>
              <w:top w:val="single" w:color="B8C6CB" w:sz="4"/>
              <w:left w:val="single" w:color="B8C6CB" w:sz="4"/>
              <w:bottom w:val="single" w:color="B8C6CB" w:sz="4"/>
              <w:right w:val="single" w:color="B8C6CB" w:sz="4"/>
            </w:tcBorders>
            <w:shd w:fill="F5F8F9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52"/>
            </w:pPr>
            <w:r>
              <w:rPr>
                <w:rFonts w:ascii="Arial" w:cs="Arial" w:eastAsia="Arial" w:hAnsi="Arial"/>
                <w:color w:val="1E2A30"/>
                <w:sz w:val="18"/>
                <w:szCs w:val="18"/>
              </w:rPr>
              <w:t xml:space="preserve">SINISA: atendimento de rede coletora de 59,7% e perdas de 40%</w:t>
            </w:r>
          </w:p>
        </w:tc>
        <w:tc>
          <w:tcPr>
            <w:tcW w:type="dxa" w:w="6169"/>
            <w:tcBorders>
              <w:top w:val="single" w:color="B8C6CB" w:sz="4"/>
              <w:left w:val="single" w:color="B8C6CB" w:sz="4"/>
              <w:bottom w:val="single" w:color="B8C6CB" w:sz="4"/>
              <w:right w:val="single" w:color="B8C6CB" w:sz="4"/>
            </w:tcBorders>
            <w:shd w:fill="F5F8F9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52"/>
            </w:pPr>
            <w:r>
              <w:rPr>
                <w:rFonts w:ascii="Arial" w:cs="Arial" w:eastAsia="Arial" w:hAnsi="Arial"/>
                <w:color w:val="1E2A30"/>
                <w:sz w:val="18"/>
                <w:szCs w:val="18"/>
              </w:rPr>
              <w:t xml:space="preserve">Agência Infra: agenciainfra.com/blog/?p=20534</w:t>
            </w:r>
          </w:p>
        </w:tc>
      </w:tr>
      <w:tr>
        <w:trPr>
          <w:cantSplit/>
          <w:tblHeader w:val="off"/>
        </w:trPr>
        <w:tc>
          <w:tcPr>
            <w:tcW w:type="dxa" w:w="3469"/>
            <w:tcBorders>
              <w:top w:val="single" w:color="B8C6CB" w:sz="4"/>
              <w:left w:val="single" w:color="B8C6CB" w:sz="4"/>
              <w:bottom w:val="single" w:color="B8C6CB" w:sz="4"/>
              <w:right w:val="single" w:color="B8C6C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52"/>
            </w:pPr>
            <w:r>
              <w:rPr>
                <w:rFonts w:ascii="Arial" w:cs="Arial" w:eastAsia="Arial" w:hAnsi="Arial"/>
                <w:color w:val="1E2A30"/>
                <w:sz w:val="18"/>
                <w:szCs w:val="18"/>
              </w:rPr>
              <w:t xml:space="preserve">Censo 2022: 203,1 milhões de habitantes e 15,6% com 60 anos ou mais</w:t>
            </w:r>
          </w:p>
        </w:tc>
        <w:tc>
          <w:tcPr>
            <w:tcW w:type="dxa" w:w="6169"/>
            <w:tcBorders>
              <w:top w:val="single" w:color="B8C6CB" w:sz="4"/>
              <w:left w:val="single" w:color="B8C6CB" w:sz="4"/>
              <w:bottom w:val="single" w:color="B8C6CB" w:sz="4"/>
              <w:right w:val="single" w:color="B8C6C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52"/>
            </w:pPr>
            <w:r>
              <w:rPr>
                <w:rFonts w:ascii="Arial" w:cs="Arial" w:eastAsia="Arial" w:hAnsi="Arial"/>
                <w:color w:val="1E2A30"/>
                <w:sz w:val="18"/>
                <w:szCs w:val="18"/>
              </w:rPr>
              <w:t xml:space="preserve">IBGE, Censo Demográfico 2022 (resultados publicados em 2023)</w:t>
            </w:r>
          </w:p>
        </w:tc>
      </w:tr>
    </w:tbl>
    <w:p>
      <w:pPr>
        <w:spacing w:after="120"/>
      </w:pPr>
    </w:p>
    <w:p>
      <w:pPr>
        <w:pStyle w:val="Heading1"/>
      </w:pPr>
      <w:r>
        <w:rPr>
          <w:rFonts w:ascii="Arial" w:cs="Arial" w:eastAsia="Arial" w:hAnsi="Arial"/>
        </w:rPr>
        <w:t xml:space="preserve">4. Educação e segurança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69"/>
        <w:gridCol w:w="6169"/>
      </w:tblGrid>
      <w:tr>
        <w:trPr>
          <w:cantSplit/>
          <w:tblHeader/>
        </w:trPr>
        <w:tc>
          <w:tcPr>
            <w:tcW w:type="dxa" w:w="3469"/>
            <w:tcBorders>
              <w:top w:val="single" w:color="B8C6CB" w:sz="4"/>
              <w:left w:val="single" w:color="B8C6CB" w:sz="4"/>
              <w:bottom w:val="single" w:color="B8C6CB" w:sz="4"/>
              <w:right w:val="single" w:color="B8C6CB" w:sz="4"/>
            </w:tcBorders>
            <w:shd w:fill="0F4C5C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52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Dado</w:t>
            </w:r>
          </w:p>
        </w:tc>
        <w:tc>
          <w:tcPr>
            <w:tcW w:type="dxa" w:w="6169"/>
            <w:tcBorders>
              <w:top w:val="single" w:color="B8C6CB" w:sz="4"/>
              <w:left w:val="single" w:color="B8C6CB" w:sz="4"/>
              <w:bottom w:val="single" w:color="B8C6CB" w:sz="4"/>
              <w:right w:val="single" w:color="B8C6CB" w:sz="4"/>
            </w:tcBorders>
            <w:shd w:fill="0F4C5C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52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Fonte e endereço</w:t>
            </w:r>
          </w:p>
        </w:tc>
      </w:tr>
      <w:tr>
        <w:trPr>
          <w:cantSplit/>
          <w:tblHeader w:val="off"/>
        </w:trPr>
        <w:tc>
          <w:tcPr>
            <w:tcW w:type="dxa" w:w="3469"/>
            <w:tcBorders>
              <w:top w:val="single" w:color="B8C6CB" w:sz="4"/>
              <w:left w:val="single" w:color="B8C6CB" w:sz="4"/>
              <w:bottom w:val="single" w:color="B8C6CB" w:sz="4"/>
              <w:right w:val="single" w:color="B8C6C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52"/>
            </w:pPr>
            <w:r>
              <w:rPr>
                <w:rFonts w:ascii="Arial" w:cs="Arial" w:eastAsia="Arial" w:hAnsi="Arial"/>
                <w:color w:val="1E2A30"/>
                <w:sz w:val="18"/>
                <w:szCs w:val="18"/>
              </w:rPr>
              <w:t xml:space="preserve">Indicador Criança Alfabetizada 2025 (66%; meta de 64%; 780 mil crianças abaixo do padrão)</w:t>
            </w:r>
          </w:p>
        </w:tc>
        <w:tc>
          <w:tcPr>
            <w:tcW w:type="dxa" w:w="6169"/>
            <w:tcBorders>
              <w:top w:val="single" w:color="B8C6CB" w:sz="4"/>
              <w:left w:val="single" w:color="B8C6CB" w:sz="4"/>
              <w:bottom w:val="single" w:color="B8C6CB" w:sz="4"/>
              <w:right w:val="single" w:color="B8C6C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52"/>
            </w:pPr>
            <w:r>
              <w:rPr>
                <w:rFonts w:ascii="Arial" w:cs="Arial" w:eastAsia="Arial" w:hAnsi="Arial"/>
                <w:color w:val="1E2A30"/>
                <w:sz w:val="18"/>
                <w:szCs w:val="18"/>
              </w:rPr>
              <w:t xml:space="preserve">Inep/MEC (23/03/2026), via Band: band.com.br/educacao/noticias/alfabetizacao-infantil-avanca-mas-34-ainda-nao-atingem-nivel-adequado-202603251413 ; Todos Pela Educação, nota técnica: todospelaeducacao.org.br</w:t>
            </w:r>
          </w:p>
        </w:tc>
      </w:tr>
      <w:tr>
        <w:trPr>
          <w:cantSplit/>
          <w:tblHeader w:val="off"/>
        </w:trPr>
        <w:tc>
          <w:tcPr>
            <w:tcW w:type="dxa" w:w="3469"/>
            <w:tcBorders>
              <w:top w:val="single" w:color="B8C6CB" w:sz="4"/>
              <w:left w:val="single" w:color="B8C6CB" w:sz="4"/>
              <w:bottom w:val="single" w:color="B8C6CB" w:sz="4"/>
              <w:right w:val="single" w:color="B8C6CB" w:sz="4"/>
            </w:tcBorders>
            <w:shd w:fill="F5F8F9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52"/>
            </w:pPr>
            <w:r>
              <w:rPr>
                <w:rFonts w:ascii="Arial" w:cs="Arial" w:eastAsia="Arial" w:hAnsi="Arial"/>
                <w:color w:val="1E2A30"/>
                <w:sz w:val="18"/>
                <w:szCs w:val="18"/>
              </w:rPr>
              <w:t xml:space="preserve">Críticas metodológicas ao indicador</w:t>
            </w:r>
          </w:p>
        </w:tc>
        <w:tc>
          <w:tcPr>
            <w:tcW w:type="dxa" w:w="6169"/>
            <w:tcBorders>
              <w:top w:val="single" w:color="B8C6CB" w:sz="4"/>
              <w:left w:val="single" w:color="B8C6CB" w:sz="4"/>
              <w:bottom w:val="single" w:color="B8C6CB" w:sz="4"/>
              <w:right w:val="single" w:color="B8C6CB" w:sz="4"/>
            </w:tcBorders>
            <w:shd w:fill="F5F8F9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52"/>
            </w:pPr>
            <w:r>
              <w:rPr>
                <w:rFonts w:ascii="Arial" w:cs="Arial" w:eastAsia="Arial" w:hAnsi="Arial"/>
                <w:color w:val="1E2A30"/>
                <w:sz w:val="18"/>
                <w:szCs w:val="18"/>
              </w:rPr>
              <w:t xml:space="preserve">Jornal de Brasília: jornaldebrasilia.com.br/noticias/brasil/mec-divulga-que-brasil-chegou-a-66-de-criancas-alfabetizadas-em-2025/</w:t>
            </w:r>
          </w:p>
        </w:tc>
      </w:tr>
      <w:tr>
        <w:trPr>
          <w:cantSplit/>
          <w:tblHeader w:val="off"/>
        </w:trPr>
        <w:tc>
          <w:tcPr>
            <w:tcW w:type="dxa" w:w="3469"/>
            <w:tcBorders>
              <w:top w:val="single" w:color="B8C6CB" w:sz="4"/>
              <w:left w:val="single" w:color="B8C6CB" w:sz="4"/>
              <w:bottom w:val="single" w:color="B8C6CB" w:sz="4"/>
              <w:right w:val="single" w:color="B8C6C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52"/>
            </w:pPr>
            <w:r>
              <w:rPr>
                <w:rFonts w:ascii="Arial" w:cs="Arial" w:eastAsia="Arial" w:hAnsi="Arial"/>
                <w:color w:val="1E2A30"/>
                <w:sz w:val="18"/>
                <w:szCs w:val="18"/>
              </w:rPr>
              <w:t xml:space="preserve">Mortes violentas intencionais em 2025 (40.775; 19,1/100 mil; −8,2%), feminicídios, mortes por intervenção policial</w:t>
            </w:r>
          </w:p>
        </w:tc>
        <w:tc>
          <w:tcPr>
            <w:tcW w:type="dxa" w:w="6169"/>
            <w:tcBorders>
              <w:top w:val="single" w:color="B8C6CB" w:sz="4"/>
              <w:left w:val="single" w:color="B8C6CB" w:sz="4"/>
              <w:bottom w:val="single" w:color="B8C6CB" w:sz="4"/>
              <w:right w:val="single" w:color="B8C6C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52"/>
            </w:pPr>
            <w:r>
              <w:rPr>
                <w:rFonts w:ascii="Arial" w:cs="Arial" w:eastAsia="Arial" w:hAnsi="Arial"/>
                <w:color w:val="1E2A30"/>
                <w:sz w:val="18"/>
                <w:szCs w:val="18"/>
              </w:rPr>
              <w:t xml:space="preserve">Fórum Brasileiro de Segurança Pública, 20º Anuário (23/07/2026), via Poder360: poder360.com.br/poder-seguranca-publica/brasil-tem-menor-numero-de-assassinatos-em-13-anos/ ; Diario de Pernambuco: diariodepernambuco.com.br/brasil/2026/07/11719408-mortes-violentas-caem-82-no-pais-em-2025-feminicidios-aumentam-4.html</w:t>
            </w:r>
          </w:p>
        </w:tc>
      </w:tr>
      <w:tr>
        <w:trPr>
          <w:cantSplit/>
          <w:tblHeader w:val="off"/>
        </w:trPr>
        <w:tc>
          <w:tcPr>
            <w:tcW w:type="dxa" w:w="3469"/>
            <w:tcBorders>
              <w:top w:val="single" w:color="B8C6CB" w:sz="4"/>
              <w:left w:val="single" w:color="B8C6CB" w:sz="4"/>
              <w:bottom w:val="single" w:color="B8C6CB" w:sz="4"/>
              <w:right w:val="single" w:color="B8C6CB" w:sz="4"/>
            </w:tcBorders>
            <w:shd w:fill="F5F8F9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52"/>
            </w:pPr>
            <w:r>
              <w:rPr>
                <w:rFonts w:ascii="Arial" w:cs="Arial" w:eastAsia="Arial" w:hAnsi="Arial"/>
                <w:color w:val="1E2A30"/>
                <w:sz w:val="18"/>
                <w:szCs w:val="18"/>
              </w:rPr>
              <w:t xml:space="preserve">População privada de liberdade de 964.668 e déficit de 281.213 vagas</w:t>
            </w:r>
          </w:p>
        </w:tc>
        <w:tc>
          <w:tcPr>
            <w:tcW w:type="dxa" w:w="6169"/>
            <w:tcBorders>
              <w:top w:val="single" w:color="B8C6CB" w:sz="4"/>
              <w:left w:val="single" w:color="B8C6CB" w:sz="4"/>
              <w:bottom w:val="single" w:color="B8C6CB" w:sz="4"/>
              <w:right w:val="single" w:color="B8C6CB" w:sz="4"/>
            </w:tcBorders>
            <w:shd w:fill="F5F8F9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52"/>
            </w:pPr>
            <w:r>
              <w:rPr>
                <w:rFonts w:ascii="Arial" w:cs="Arial" w:eastAsia="Arial" w:hAnsi="Arial"/>
                <w:color w:val="1E2A30"/>
                <w:sz w:val="18"/>
                <w:szCs w:val="18"/>
              </w:rPr>
              <w:t xml:space="preserve">FBSP, 20º Anuário, via BNews: bnewssaopaulo.com.br/noticias/policia/brasil-se-aproxima-de-1-milhao-de-presos-e-deficit-de-vagas-ultrapassa-281-mil.html</w:t>
            </w:r>
          </w:p>
        </w:tc>
      </w:tr>
      <w:tr>
        <w:trPr>
          <w:cantSplit/>
          <w:tblHeader w:val="off"/>
        </w:trPr>
        <w:tc>
          <w:tcPr>
            <w:tcW w:type="dxa" w:w="3469"/>
            <w:tcBorders>
              <w:top w:val="single" w:color="B8C6CB" w:sz="4"/>
              <w:left w:val="single" w:color="B8C6CB" w:sz="4"/>
              <w:bottom w:val="single" w:color="B8C6CB" w:sz="4"/>
              <w:right w:val="single" w:color="B8C6C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52"/>
            </w:pPr>
            <w:r>
              <w:rPr>
                <w:rFonts w:ascii="Arial" w:cs="Arial" w:eastAsia="Arial" w:hAnsi="Arial"/>
                <w:color w:val="1E2A30"/>
                <w:sz w:val="18"/>
                <w:szCs w:val="18"/>
              </w:rPr>
              <w:t xml:space="preserve">Custo estimado para zerar déficit prisional (Senappen)</w:t>
            </w:r>
          </w:p>
        </w:tc>
        <w:tc>
          <w:tcPr>
            <w:tcW w:type="dxa" w:w="6169"/>
            <w:tcBorders>
              <w:top w:val="single" w:color="B8C6CB" w:sz="4"/>
              <w:left w:val="single" w:color="B8C6CB" w:sz="4"/>
              <w:bottom w:val="single" w:color="B8C6CB" w:sz="4"/>
              <w:right w:val="single" w:color="B8C6C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52"/>
            </w:pPr>
            <w:r>
              <w:rPr>
                <w:rFonts w:ascii="Arial" w:cs="Arial" w:eastAsia="Arial" w:hAnsi="Arial"/>
                <w:color w:val="1E2A30"/>
                <w:sz w:val="18"/>
                <w:szCs w:val="18"/>
              </w:rPr>
              <w:t xml:space="preserve">Agência Brasil via Tribuna de Minas: tribunademinas.com.br/noticias/brasil-e-mundo/21-11-2025/sistema-prisional-brasil-precisaria-de-r-14-bilhoes-para-zerar-deficit-de-vagas.html</w:t>
            </w:r>
          </w:p>
        </w:tc>
      </w:tr>
      <w:tr>
        <w:trPr>
          <w:cantSplit/>
          <w:tblHeader w:val="off"/>
        </w:trPr>
        <w:tc>
          <w:tcPr>
            <w:tcW w:type="dxa" w:w="3469"/>
            <w:tcBorders>
              <w:top w:val="single" w:color="B8C6CB" w:sz="4"/>
              <w:left w:val="single" w:color="B8C6CB" w:sz="4"/>
              <w:bottom w:val="single" w:color="B8C6CB" w:sz="4"/>
              <w:right w:val="single" w:color="B8C6CB" w:sz="4"/>
            </w:tcBorders>
            <w:shd w:fill="F5F8F9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52"/>
            </w:pPr>
            <w:r>
              <w:rPr>
                <w:rFonts w:ascii="Arial" w:cs="Arial" w:eastAsia="Arial" w:hAnsi="Arial"/>
                <w:color w:val="1E2A30"/>
                <w:sz w:val="18"/>
                <w:szCs w:val="18"/>
              </w:rPr>
              <w:t xml:space="preserve">PEC 18/2025 (Segurança Pública): conteúdo e tramitação no Senado</w:t>
            </w:r>
          </w:p>
        </w:tc>
        <w:tc>
          <w:tcPr>
            <w:tcW w:type="dxa" w:w="6169"/>
            <w:tcBorders>
              <w:top w:val="single" w:color="B8C6CB" w:sz="4"/>
              <w:left w:val="single" w:color="B8C6CB" w:sz="4"/>
              <w:bottom w:val="single" w:color="B8C6CB" w:sz="4"/>
              <w:right w:val="single" w:color="B8C6CB" w:sz="4"/>
            </w:tcBorders>
            <w:shd w:fill="F5F8F9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52"/>
            </w:pPr>
            <w:r>
              <w:rPr>
                <w:rFonts w:ascii="Arial" w:cs="Arial" w:eastAsia="Arial" w:hAnsi="Arial"/>
                <w:color w:val="1E2A30"/>
                <w:sz w:val="18"/>
                <w:szCs w:val="18"/>
              </w:rPr>
              <w:t xml:space="preserve">Poder360: poder360.com.br/poder-congresso/ao-vivo-senado-vota-pec-da-seguranca-publica/ ; DGABC: dgabc.com.br/Noticia/4352652/pec-da-seguranca-publica-avanca-ao-plenario-do-senado ; Congresso em Foco: congressoemfoco.com.br/noticia/121653/senado-relator-mantem-texto-da-camara-para-acelerar-pec-da-seguranca</w:t>
            </w:r>
          </w:p>
        </w:tc>
      </w:tr>
    </w:tbl>
    <w:p>
      <w:pPr>
        <w:spacing w:after="120"/>
      </w:pPr>
    </w:p>
    <w:p>
      <w:pPr>
        <w:pStyle w:val="Heading1"/>
      </w:pPr>
      <w:r>
        <w:rPr>
          <w:rFonts w:ascii="Arial" w:cs="Arial" w:eastAsia="Arial" w:hAnsi="Arial"/>
        </w:rPr>
        <w:t xml:space="preserve">5. Comércio exterior e política externa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69"/>
        <w:gridCol w:w="6169"/>
      </w:tblGrid>
      <w:tr>
        <w:trPr>
          <w:cantSplit/>
          <w:tblHeader/>
        </w:trPr>
        <w:tc>
          <w:tcPr>
            <w:tcW w:type="dxa" w:w="3469"/>
            <w:tcBorders>
              <w:top w:val="single" w:color="B8C6CB" w:sz="4"/>
              <w:left w:val="single" w:color="B8C6CB" w:sz="4"/>
              <w:bottom w:val="single" w:color="B8C6CB" w:sz="4"/>
              <w:right w:val="single" w:color="B8C6CB" w:sz="4"/>
            </w:tcBorders>
            <w:shd w:fill="0F4C5C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52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Dado</w:t>
            </w:r>
          </w:p>
        </w:tc>
        <w:tc>
          <w:tcPr>
            <w:tcW w:type="dxa" w:w="6169"/>
            <w:tcBorders>
              <w:top w:val="single" w:color="B8C6CB" w:sz="4"/>
              <w:left w:val="single" w:color="B8C6CB" w:sz="4"/>
              <w:bottom w:val="single" w:color="B8C6CB" w:sz="4"/>
              <w:right w:val="single" w:color="B8C6CB" w:sz="4"/>
            </w:tcBorders>
            <w:shd w:fill="0F4C5C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52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Fonte e endereço</w:t>
            </w:r>
          </w:p>
        </w:tc>
      </w:tr>
      <w:tr>
        <w:trPr>
          <w:cantSplit/>
          <w:tblHeader w:val="off"/>
        </w:trPr>
        <w:tc>
          <w:tcPr>
            <w:tcW w:type="dxa" w:w="3469"/>
            <w:tcBorders>
              <w:top w:val="single" w:color="B8C6CB" w:sz="4"/>
              <w:left w:val="single" w:color="B8C6CB" w:sz="4"/>
              <w:bottom w:val="single" w:color="B8C6CB" w:sz="4"/>
              <w:right w:val="single" w:color="B8C6C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52"/>
            </w:pPr>
            <w:r>
              <w:rPr>
                <w:rFonts w:ascii="Arial" w:cs="Arial" w:eastAsia="Arial" w:hAnsi="Arial"/>
                <w:color w:val="1E2A30"/>
                <w:sz w:val="18"/>
                <w:szCs w:val="18"/>
              </w:rPr>
              <w:t xml:space="preserve">Balança comercial de 2025 (superávit de US$ 68,3 bi; exportações de US$ 348,7 bi; China e EUA)</w:t>
            </w:r>
          </w:p>
        </w:tc>
        <w:tc>
          <w:tcPr>
            <w:tcW w:type="dxa" w:w="6169"/>
            <w:tcBorders>
              <w:top w:val="single" w:color="B8C6CB" w:sz="4"/>
              <w:left w:val="single" w:color="B8C6CB" w:sz="4"/>
              <w:bottom w:val="single" w:color="B8C6CB" w:sz="4"/>
              <w:right w:val="single" w:color="B8C6C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52"/>
            </w:pPr>
            <w:r>
              <w:rPr>
                <w:rFonts w:ascii="Arial" w:cs="Arial" w:eastAsia="Arial" w:hAnsi="Arial"/>
                <w:color w:val="1E2A30"/>
                <w:sz w:val="18"/>
                <w:szCs w:val="18"/>
              </w:rPr>
              <w:t xml:space="preserve">MDIC, via Poder360: poder360.com.br/poder-economia/balanca-comercial-atinge-superavit-de-us-683-bi-em-2025/ ; Reuters via Notícias Agrícolas: noticiasagricolas.com.br/noticia/413436</w:t>
            </w:r>
          </w:p>
        </w:tc>
      </w:tr>
      <w:tr>
        <w:trPr>
          <w:cantSplit/>
          <w:tblHeader w:val="off"/>
        </w:trPr>
        <w:tc>
          <w:tcPr>
            <w:tcW w:type="dxa" w:w="3469"/>
            <w:tcBorders>
              <w:top w:val="single" w:color="B8C6CB" w:sz="4"/>
              <w:left w:val="single" w:color="B8C6CB" w:sz="4"/>
              <w:bottom w:val="single" w:color="B8C6CB" w:sz="4"/>
              <w:right w:val="single" w:color="B8C6CB" w:sz="4"/>
            </w:tcBorders>
            <w:shd w:fill="F5F8F9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52"/>
            </w:pPr>
            <w:r>
              <w:rPr>
                <w:rFonts w:ascii="Arial" w:cs="Arial" w:eastAsia="Arial" w:hAnsi="Arial"/>
                <w:color w:val="1E2A30"/>
                <w:sz w:val="18"/>
                <w:szCs w:val="18"/>
              </w:rPr>
              <w:t xml:space="preserve">Comércio Brasil–China em 2025 (28,7% das exportações)</w:t>
            </w:r>
          </w:p>
        </w:tc>
        <w:tc>
          <w:tcPr>
            <w:tcW w:type="dxa" w:w="6169"/>
            <w:tcBorders>
              <w:top w:val="single" w:color="B8C6CB" w:sz="4"/>
              <w:left w:val="single" w:color="B8C6CB" w:sz="4"/>
              <w:bottom w:val="single" w:color="B8C6CB" w:sz="4"/>
              <w:right w:val="single" w:color="B8C6CB" w:sz="4"/>
            </w:tcBorders>
            <w:shd w:fill="F5F8F9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52"/>
            </w:pPr>
            <w:r>
              <w:rPr>
                <w:rFonts w:ascii="Arial" w:cs="Arial" w:eastAsia="Arial" w:hAnsi="Arial"/>
                <w:color w:val="1E2A30"/>
                <w:sz w:val="18"/>
                <w:szCs w:val="18"/>
              </w:rPr>
              <w:t xml:space="preserve">Conselho Empresarial Brasil–China (CEBC Alerta), via Poder360: static.poder360.com.br/2026/01/Comercio-Brasil-China-atinge-recorde-de-US-171-bilhoes-em-2025-CEBC-Alerta.pdf</w:t>
            </w:r>
          </w:p>
        </w:tc>
      </w:tr>
      <w:tr>
        <w:trPr>
          <w:cantSplit/>
          <w:tblHeader w:val="off"/>
        </w:trPr>
        <w:tc>
          <w:tcPr>
            <w:tcW w:type="dxa" w:w="3469"/>
            <w:tcBorders>
              <w:top w:val="single" w:color="B8C6CB" w:sz="4"/>
              <w:left w:val="single" w:color="B8C6CB" w:sz="4"/>
              <w:bottom w:val="single" w:color="B8C6CB" w:sz="4"/>
              <w:right w:val="single" w:color="B8C6C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52"/>
            </w:pPr>
            <w:r>
              <w:rPr>
                <w:rFonts w:ascii="Arial" w:cs="Arial" w:eastAsia="Arial" w:hAnsi="Arial"/>
                <w:color w:val="1E2A30"/>
                <w:sz w:val="18"/>
                <w:szCs w:val="18"/>
              </w:rPr>
              <w:t xml:space="preserve">Suprema Corte dos EUA invalida tarifas baseadas na IEEPA (20/02/2026) e tarifa da Seção 122</w:t>
            </w:r>
          </w:p>
        </w:tc>
        <w:tc>
          <w:tcPr>
            <w:tcW w:type="dxa" w:w="6169"/>
            <w:tcBorders>
              <w:top w:val="single" w:color="B8C6CB" w:sz="4"/>
              <w:left w:val="single" w:color="B8C6CB" w:sz="4"/>
              <w:bottom w:val="single" w:color="B8C6CB" w:sz="4"/>
              <w:right w:val="single" w:color="B8C6C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52"/>
            </w:pPr>
            <w:r>
              <w:rPr>
                <w:rFonts w:ascii="Arial" w:cs="Arial" w:eastAsia="Arial" w:hAnsi="Arial"/>
                <w:color w:val="1E2A30"/>
                <w:sz w:val="18"/>
                <w:szCs w:val="18"/>
              </w:rPr>
              <w:t xml:space="preserve">Datamar News: datamarnews.com/noticias/trump-tariff-shake-up-what-it-means-for-brazilian-exports-to-the-u-s/ ; Movimento Econômico: movimentoeconomico.com.br/economia/comercio-exterior/2026/02/24/novo-tarifaco-de-trump-entra-em-vigor-com-10-mas-ele-quer-mais/</w:t>
            </w:r>
          </w:p>
        </w:tc>
      </w:tr>
      <w:tr>
        <w:trPr>
          <w:cantSplit/>
          <w:tblHeader w:val="off"/>
        </w:trPr>
        <w:tc>
          <w:tcPr>
            <w:tcW w:type="dxa" w:w="3469"/>
            <w:tcBorders>
              <w:top w:val="single" w:color="B8C6CB" w:sz="4"/>
              <w:left w:val="single" w:color="B8C6CB" w:sz="4"/>
              <w:bottom w:val="single" w:color="B8C6CB" w:sz="4"/>
              <w:right w:val="single" w:color="B8C6CB" w:sz="4"/>
            </w:tcBorders>
            <w:shd w:fill="F5F8F9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52"/>
            </w:pPr>
            <w:r>
              <w:rPr>
                <w:rFonts w:ascii="Arial" w:cs="Arial" w:eastAsia="Arial" w:hAnsi="Arial"/>
                <w:color w:val="1E2A30"/>
                <w:sz w:val="18"/>
                <w:szCs w:val="18"/>
              </w:rPr>
              <w:t xml:space="preserve">Sobretaxas da Seção 301 (25% e 12,5%) em julho de 2026; participação dos EUA de 9,4% no 1º sem/2026</w:t>
            </w:r>
          </w:p>
        </w:tc>
        <w:tc>
          <w:tcPr>
            <w:tcW w:type="dxa" w:w="6169"/>
            <w:tcBorders>
              <w:top w:val="single" w:color="B8C6CB" w:sz="4"/>
              <w:left w:val="single" w:color="B8C6CB" w:sz="4"/>
              <w:bottom w:val="single" w:color="B8C6CB" w:sz="4"/>
              <w:right w:val="single" w:color="B8C6CB" w:sz="4"/>
            </w:tcBorders>
            <w:shd w:fill="F5F8F9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52"/>
            </w:pPr>
            <w:r>
              <w:rPr>
                <w:rFonts w:ascii="Arial" w:cs="Arial" w:eastAsia="Arial" w:hAnsi="Arial"/>
                <w:color w:val="1E2A30"/>
                <w:sz w:val="18"/>
                <w:szCs w:val="18"/>
              </w:rPr>
              <w:t xml:space="preserve">TAGD Advogados: tagdlaw.com.br/alcance-das-medidas-tarifarias-dos-estados-unidos-sobre-exportacoes-brasileiras/ ; PIIE: piie.com/blogs/realtime-economics/2026/trumps-new-tariffs-brazil-reflect-weakness-us-trade-strategy</w:t>
            </w:r>
          </w:p>
        </w:tc>
      </w:tr>
      <w:tr>
        <w:trPr>
          <w:cantSplit/>
          <w:tblHeader w:val="off"/>
        </w:trPr>
        <w:tc>
          <w:tcPr>
            <w:tcW w:type="dxa" w:w="3469"/>
            <w:tcBorders>
              <w:top w:val="single" w:color="B8C6CB" w:sz="4"/>
              <w:left w:val="single" w:color="B8C6CB" w:sz="4"/>
              <w:bottom w:val="single" w:color="B8C6CB" w:sz="4"/>
              <w:right w:val="single" w:color="B8C6C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52"/>
            </w:pPr>
            <w:r>
              <w:rPr>
                <w:rFonts w:ascii="Arial" w:cs="Arial" w:eastAsia="Arial" w:hAnsi="Arial"/>
                <w:color w:val="1E2A30"/>
                <w:sz w:val="18"/>
                <w:szCs w:val="18"/>
              </w:rPr>
              <w:t xml:space="preserve">Acordo Mercosul–UE: assinatura (17/01/2026), Decreto Legislativo nº 14/2026, vigência provisória em 01/05/2026</w:t>
            </w:r>
          </w:p>
        </w:tc>
        <w:tc>
          <w:tcPr>
            <w:tcW w:type="dxa" w:w="6169"/>
            <w:tcBorders>
              <w:top w:val="single" w:color="B8C6CB" w:sz="4"/>
              <w:left w:val="single" w:color="B8C6CB" w:sz="4"/>
              <w:bottom w:val="single" w:color="B8C6CB" w:sz="4"/>
              <w:right w:val="single" w:color="B8C6C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52"/>
            </w:pPr>
            <w:r>
              <w:rPr>
                <w:rFonts w:ascii="Arial" w:cs="Arial" w:eastAsia="Arial" w:hAnsi="Arial"/>
                <w:color w:val="1E2A30"/>
                <w:sz w:val="18"/>
                <w:szCs w:val="18"/>
              </w:rPr>
              <w:t xml:space="preserve">Band: band.com.br/economia/noticias/acordo-provisorio-mercosul-ue-entrara-em-vigor-em-1-de-maio-diz-governo-202603250734 ; Poder360: poder360.com.br/poder-internacional/acordo-comercial-ue-mercosul-deve-comecar-a-valer-em-maio/</w:t>
            </w:r>
          </w:p>
        </w:tc>
      </w:tr>
      <w:tr>
        <w:trPr>
          <w:cantSplit/>
          <w:tblHeader w:val="off"/>
        </w:trPr>
        <w:tc>
          <w:tcPr>
            <w:tcW w:type="dxa" w:w="3469"/>
            <w:tcBorders>
              <w:top w:val="single" w:color="B8C6CB" w:sz="4"/>
              <w:left w:val="single" w:color="B8C6CB" w:sz="4"/>
              <w:bottom w:val="single" w:color="B8C6CB" w:sz="4"/>
              <w:right w:val="single" w:color="B8C6CB" w:sz="4"/>
            </w:tcBorders>
            <w:shd w:fill="F5F8F9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52"/>
            </w:pPr>
            <w:r>
              <w:rPr>
                <w:rFonts w:ascii="Arial" w:cs="Arial" w:eastAsia="Arial" w:hAnsi="Arial"/>
                <w:color w:val="1E2A30"/>
                <w:sz w:val="18"/>
                <w:szCs w:val="18"/>
              </w:rPr>
              <w:t xml:space="preserve">Guerra EUA/Israel–Irã desde 28/02/2026, cessar-fogo de abril e tensões em Ormuz</w:t>
            </w:r>
          </w:p>
        </w:tc>
        <w:tc>
          <w:tcPr>
            <w:tcW w:type="dxa" w:w="6169"/>
            <w:tcBorders>
              <w:top w:val="single" w:color="B8C6CB" w:sz="4"/>
              <w:left w:val="single" w:color="B8C6CB" w:sz="4"/>
              <w:bottom w:val="single" w:color="B8C6CB" w:sz="4"/>
              <w:right w:val="single" w:color="B8C6CB" w:sz="4"/>
            </w:tcBorders>
            <w:shd w:fill="F5F8F9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52"/>
            </w:pPr>
            <w:r>
              <w:rPr>
                <w:rFonts w:ascii="Arial" w:cs="Arial" w:eastAsia="Arial" w:hAnsi="Arial"/>
                <w:color w:val="1E2A30"/>
                <w:sz w:val="18"/>
                <w:szCs w:val="18"/>
              </w:rPr>
              <w:t xml:space="preserve">Poder360: poder360.com.br/poder-internacional/trump-anuncia-cessar-fogo-de-duas-semanas-na-guerra-contra-o-ira/ ; Money Times: moneytimes.com.br/eua-e-ira-trocam-ataques-pelo-segundo-dia-consecutivo-abalando-fragil-cessar-fogo-fets/ ; DGABC: dgabc.com.br/Noticia/4341289/ira-rebate-comentario-de-trump-sobre-anexar-ormuz-aos-eua-e-nega-existencia-de-cessar-fogo</w:t>
            </w:r>
          </w:p>
        </w:tc>
      </w:tr>
      <w:tr>
        <w:trPr>
          <w:cantSplit/>
          <w:tblHeader w:val="off"/>
        </w:trPr>
        <w:tc>
          <w:tcPr>
            <w:tcW w:type="dxa" w:w="3469"/>
            <w:tcBorders>
              <w:top w:val="single" w:color="B8C6CB" w:sz="4"/>
              <w:left w:val="single" w:color="B8C6CB" w:sz="4"/>
              <w:bottom w:val="single" w:color="B8C6CB" w:sz="4"/>
              <w:right w:val="single" w:color="B8C6C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52"/>
            </w:pPr>
            <w:r>
              <w:rPr>
                <w:rFonts w:ascii="Arial" w:cs="Arial" w:eastAsia="Arial" w:hAnsi="Arial"/>
                <w:color w:val="1E2A30"/>
                <w:sz w:val="18"/>
                <w:szCs w:val="18"/>
              </w:rPr>
              <w:t xml:space="preserve">Israel–Hezbollah em guerra desde 02/03/2026</w:t>
            </w:r>
          </w:p>
        </w:tc>
        <w:tc>
          <w:tcPr>
            <w:tcW w:type="dxa" w:w="6169"/>
            <w:tcBorders>
              <w:top w:val="single" w:color="B8C6CB" w:sz="4"/>
              <w:left w:val="single" w:color="B8C6CB" w:sz="4"/>
              <w:bottom w:val="single" w:color="B8C6CB" w:sz="4"/>
              <w:right w:val="single" w:color="B8C6C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52"/>
            </w:pPr>
            <w:r>
              <w:rPr>
                <w:rFonts w:ascii="Arial" w:cs="Arial" w:eastAsia="Arial" w:hAnsi="Arial"/>
                <w:color w:val="1E2A30"/>
                <w:sz w:val="18"/>
                <w:szCs w:val="18"/>
              </w:rPr>
              <w:t xml:space="preserve">Diario de Pernambuco (AFP): diariodepernambuco.com.br/mundo/2026/04/11711700-eua-e-ira-declaram-vitoria-apos-concordarem-com-tregua-de-duas-semanas.html</w:t>
            </w:r>
          </w:p>
        </w:tc>
      </w:tr>
      <w:tr>
        <w:trPr>
          <w:cantSplit/>
          <w:tblHeader w:val="off"/>
        </w:trPr>
        <w:tc>
          <w:tcPr>
            <w:tcW w:type="dxa" w:w="3469"/>
            <w:tcBorders>
              <w:top w:val="single" w:color="B8C6CB" w:sz="4"/>
              <w:left w:val="single" w:color="B8C6CB" w:sz="4"/>
              <w:bottom w:val="single" w:color="B8C6CB" w:sz="4"/>
              <w:right w:val="single" w:color="B8C6CB" w:sz="4"/>
            </w:tcBorders>
            <w:shd w:fill="F5F8F9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52"/>
            </w:pPr>
            <w:r>
              <w:rPr>
                <w:rFonts w:ascii="Arial" w:cs="Arial" w:eastAsia="Arial" w:hAnsi="Arial"/>
                <w:color w:val="1E2A30"/>
                <w:sz w:val="18"/>
                <w:szCs w:val="18"/>
              </w:rPr>
              <w:t xml:space="preserve">Preço do Brent em agosto de 2026</w:t>
            </w:r>
          </w:p>
        </w:tc>
        <w:tc>
          <w:tcPr>
            <w:tcW w:type="dxa" w:w="6169"/>
            <w:tcBorders>
              <w:top w:val="single" w:color="B8C6CB" w:sz="4"/>
              <w:left w:val="single" w:color="B8C6CB" w:sz="4"/>
              <w:bottom w:val="single" w:color="B8C6CB" w:sz="4"/>
              <w:right w:val="single" w:color="B8C6CB" w:sz="4"/>
            </w:tcBorders>
            <w:shd w:fill="F5F8F9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52"/>
            </w:pPr>
            <w:r>
              <w:rPr>
                <w:rFonts w:ascii="Arial" w:cs="Arial" w:eastAsia="Arial" w:hAnsi="Arial"/>
                <w:color w:val="1E2A30"/>
                <w:sz w:val="18"/>
                <w:szCs w:val="18"/>
              </w:rPr>
              <w:t xml:space="preserve">eixos: eixos.com.br/petroleo-e-gas/petroleo-fecha-em-alta-sem-progresso-sobre-ormuz/ ; Money Times: moneytimes.com.br/petroleo-18-8-26-lils/</w:t>
            </w:r>
          </w:p>
        </w:tc>
      </w:tr>
      <w:tr>
        <w:trPr>
          <w:cantSplit/>
          <w:tblHeader w:val="off"/>
        </w:trPr>
        <w:tc>
          <w:tcPr>
            <w:tcW w:type="dxa" w:w="3469"/>
            <w:tcBorders>
              <w:top w:val="single" w:color="B8C6CB" w:sz="4"/>
              <w:left w:val="single" w:color="B8C6CB" w:sz="4"/>
              <w:bottom w:val="single" w:color="B8C6CB" w:sz="4"/>
              <w:right w:val="single" w:color="B8C6C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52"/>
            </w:pPr>
            <w:r>
              <w:rPr>
                <w:rFonts w:ascii="Arial" w:cs="Arial" w:eastAsia="Arial" w:hAnsi="Arial"/>
                <w:color w:val="1E2A30"/>
                <w:sz w:val="18"/>
                <w:szCs w:val="18"/>
              </w:rPr>
              <w:t xml:space="preserve">Estoque iraniano de 408,6 kg de urânio a 60% (AIEA, fev/2026)</w:t>
            </w:r>
          </w:p>
        </w:tc>
        <w:tc>
          <w:tcPr>
            <w:tcW w:type="dxa" w:w="6169"/>
            <w:tcBorders>
              <w:top w:val="single" w:color="B8C6CB" w:sz="4"/>
              <w:left w:val="single" w:color="B8C6CB" w:sz="4"/>
              <w:bottom w:val="single" w:color="B8C6CB" w:sz="4"/>
              <w:right w:val="single" w:color="B8C6C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52"/>
            </w:pPr>
            <w:r>
              <w:rPr>
                <w:rFonts w:ascii="Arial" w:cs="Arial" w:eastAsia="Arial" w:hAnsi="Arial"/>
                <w:color w:val="1E2A30"/>
                <w:sz w:val="18"/>
                <w:szCs w:val="18"/>
              </w:rPr>
              <w:t xml:space="preserve">Poder360: poder360.com.br/poder-internacional/israel-afirma-ter-bombardeado-complexo-nuclear-iraniano/</w:t>
            </w:r>
          </w:p>
        </w:tc>
      </w:tr>
      <w:tr>
        <w:trPr>
          <w:cantSplit/>
          <w:tblHeader w:val="off"/>
        </w:trPr>
        <w:tc>
          <w:tcPr>
            <w:tcW w:type="dxa" w:w="3469"/>
            <w:tcBorders>
              <w:top w:val="single" w:color="B8C6CB" w:sz="4"/>
              <w:left w:val="single" w:color="B8C6CB" w:sz="4"/>
              <w:bottom w:val="single" w:color="B8C6CB" w:sz="4"/>
              <w:right w:val="single" w:color="B8C6CB" w:sz="4"/>
            </w:tcBorders>
            <w:shd w:fill="F5F8F9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52"/>
            </w:pPr>
            <w:r>
              <w:rPr>
                <w:rFonts w:ascii="Arial" w:cs="Arial" w:eastAsia="Arial" w:hAnsi="Arial"/>
                <w:color w:val="1E2A30"/>
                <w:sz w:val="18"/>
                <w:szCs w:val="18"/>
              </w:rPr>
              <w:t xml:space="preserve">Gaza: cessar-fogo de 10/10/2025, Conselho de Paz, força internacional aprovada pelo Conselho de Segurança</w:t>
            </w:r>
          </w:p>
        </w:tc>
        <w:tc>
          <w:tcPr>
            <w:tcW w:type="dxa" w:w="6169"/>
            <w:tcBorders>
              <w:top w:val="single" w:color="B8C6CB" w:sz="4"/>
              <w:left w:val="single" w:color="B8C6CB" w:sz="4"/>
              <w:bottom w:val="single" w:color="B8C6CB" w:sz="4"/>
              <w:right w:val="single" w:color="B8C6CB" w:sz="4"/>
            </w:tcBorders>
            <w:shd w:fill="F5F8F9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52"/>
            </w:pPr>
            <w:r>
              <w:rPr>
                <w:rFonts w:ascii="Arial" w:cs="Arial" w:eastAsia="Arial" w:hAnsi="Arial"/>
                <w:color w:val="1E2A30"/>
                <w:sz w:val="18"/>
                <w:szCs w:val="18"/>
              </w:rPr>
              <w:t xml:space="preserve">RTP: rtp.pt/noticias/mundo/governo-de-gaza-sera-anunciado-ate-ao-final-do-ano_n1702815 ; Renascença: rr.pt/noticia/mundo/2026/02/20/hamas-acordo-para-gaza-so-com-fim-da-agressao-israelita/460200/</w:t>
            </w:r>
          </w:p>
        </w:tc>
      </w:tr>
      <w:tr>
        <w:trPr>
          <w:cantSplit/>
          <w:tblHeader w:val="off"/>
        </w:trPr>
        <w:tc>
          <w:tcPr>
            <w:tcW w:type="dxa" w:w="3469"/>
            <w:tcBorders>
              <w:top w:val="single" w:color="B8C6CB" w:sz="4"/>
              <w:left w:val="single" w:color="B8C6CB" w:sz="4"/>
              <w:bottom w:val="single" w:color="B8C6CB" w:sz="4"/>
              <w:right w:val="single" w:color="B8C6C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52"/>
            </w:pPr>
            <w:r>
              <w:rPr>
                <w:rFonts w:ascii="Arial" w:cs="Arial" w:eastAsia="Arial" w:hAnsi="Arial"/>
                <w:color w:val="1E2A30"/>
                <w:sz w:val="18"/>
                <w:szCs w:val="18"/>
              </w:rPr>
              <w:t xml:space="preserve">Gaza: plano de reconstrução reduzido e eleições israelenses em 27/10/2026</w:t>
            </w:r>
          </w:p>
        </w:tc>
        <w:tc>
          <w:tcPr>
            <w:tcW w:type="dxa" w:w="6169"/>
            <w:tcBorders>
              <w:top w:val="single" w:color="B8C6CB" w:sz="4"/>
              <w:left w:val="single" w:color="B8C6CB" w:sz="4"/>
              <w:bottom w:val="single" w:color="B8C6CB" w:sz="4"/>
              <w:right w:val="single" w:color="B8C6C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52"/>
            </w:pPr>
            <w:r>
              <w:rPr>
                <w:rFonts w:ascii="Arial" w:cs="Arial" w:eastAsia="Arial" w:hAnsi="Arial"/>
                <w:color w:val="1E2A30"/>
                <w:sz w:val="18"/>
                <w:szCs w:val="18"/>
              </w:rPr>
              <w:t xml:space="preserve">Observador: observador.pt/2026/07/17/faixa-de-gaza-plano-de-reconstrucao-reduzido-a-projeto-piloto-perto-de-rafah-sem-financiamento-garantido-e-sem-data-para-arrancar/</w:t>
            </w:r>
          </w:p>
        </w:tc>
      </w:tr>
      <w:tr>
        <w:trPr>
          <w:cantSplit/>
          <w:tblHeader w:val="off"/>
        </w:trPr>
        <w:tc>
          <w:tcPr>
            <w:tcW w:type="dxa" w:w="3469"/>
            <w:tcBorders>
              <w:top w:val="single" w:color="B8C6CB" w:sz="4"/>
              <w:left w:val="single" w:color="B8C6CB" w:sz="4"/>
              <w:bottom w:val="single" w:color="B8C6CB" w:sz="4"/>
              <w:right w:val="single" w:color="B8C6CB" w:sz="4"/>
            </w:tcBorders>
            <w:shd w:fill="F5F8F9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52"/>
            </w:pPr>
            <w:r>
              <w:rPr>
                <w:rFonts w:ascii="Arial" w:cs="Arial" w:eastAsia="Arial" w:hAnsi="Arial"/>
                <w:color w:val="1E2A30"/>
                <w:sz w:val="18"/>
                <w:szCs w:val="18"/>
              </w:rPr>
              <w:t xml:space="preserve">Gaza: 1.257 mortos desde o cessar-fogo (ministério da saúde local)</w:t>
            </w:r>
          </w:p>
        </w:tc>
        <w:tc>
          <w:tcPr>
            <w:tcW w:type="dxa" w:w="6169"/>
            <w:tcBorders>
              <w:top w:val="single" w:color="B8C6CB" w:sz="4"/>
              <w:left w:val="single" w:color="B8C6CB" w:sz="4"/>
              <w:bottom w:val="single" w:color="B8C6CB" w:sz="4"/>
              <w:right w:val="single" w:color="B8C6CB" w:sz="4"/>
            </w:tcBorders>
            <w:shd w:fill="F5F8F9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52"/>
            </w:pPr>
            <w:r>
              <w:rPr>
                <w:rFonts w:ascii="Arial" w:cs="Arial" w:eastAsia="Arial" w:hAnsi="Arial"/>
                <w:color w:val="1E2A30"/>
                <w:sz w:val="18"/>
                <w:szCs w:val="18"/>
              </w:rPr>
              <w:t xml:space="preserve">Observador, liveblog: observador.pt/liveblogs/tres-mortos-em-ataque-russo-contra-kiev/</w:t>
            </w:r>
          </w:p>
        </w:tc>
      </w:tr>
      <w:tr>
        <w:trPr>
          <w:cantSplit/>
          <w:tblHeader w:val="off"/>
        </w:trPr>
        <w:tc>
          <w:tcPr>
            <w:tcW w:type="dxa" w:w="3469"/>
            <w:tcBorders>
              <w:top w:val="single" w:color="B8C6CB" w:sz="4"/>
              <w:left w:val="single" w:color="B8C6CB" w:sz="4"/>
              <w:bottom w:val="single" w:color="B8C6CB" w:sz="4"/>
              <w:right w:val="single" w:color="B8C6C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52"/>
            </w:pPr>
            <w:r>
              <w:rPr>
                <w:rFonts w:ascii="Arial" w:cs="Arial" w:eastAsia="Arial" w:hAnsi="Arial"/>
                <w:color w:val="1E2A30"/>
                <w:sz w:val="18"/>
                <w:szCs w:val="18"/>
              </w:rPr>
              <w:t xml:space="preserve">Venezuela: governo interino de Delcy Rodríguez após captura de Maduro; discurso na ONU em 23/09/2026</w:t>
            </w:r>
          </w:p>
        </w:tc>
        <w:tc>
          <w:tcPr>
            <w:tcW w:type="dxa" w:w="6169"/>
            <w:tcBorders>
              <w:top w:val="single" w:color="B8C6CB" w:sz="4"/>
              <w:left w:val="single" w:color="B8C6CB" w:sz="4"/>
              <w:bottom w:val="single" w:color="B8C6CB" w:sz="4"/>
              <w:right w:val="single" w:color="B8C6C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52"/>
            </w:pPr>
            <w:r>
              <w:rPr>
                <w:rFonts w:ascii="Arial" w:cs="Arial" w:eastAsia="Arial" w:hAnsi="Arial"/>
                <w:color w:val="1E2A30"/>
                <w:sz w:val="18"/>
                <w:szCs w:val="18"/>
              </w:rPr>
              <w:t xml:space="preserve">NPR via WUNC: wunc.org/2026-09-24/venezuelas-acting-leader-promises-elections-at-the-right-moment ; Revista Oeste: revistaoeste.com/mundo/venezuela-como-delcy-rodriguez-se-equilibra-no-poder/</w:t>
            </w:r>
          </w:p>
        </w:tc>
      </w:tr>
      <w:tr>
        <w:trPr>
          <w:cantSplit/>
          <w:tblHeader w:val="off"/>
        </w:trPr>
        <w:tc>
          <w:tcPr>
            <w:tcW w:type="dxa" w:w="3469"/>
            <w:tcBorders>
              <w:top w:val="single" w:color="B8C6CB" w:sz="4"/>
              <w:left w:val="single" w:color="B8C6CB" w:sz="4"/>
              <w:bottom w:val="single" w:color="B8C6CB" w:sz="4"/>
              <w:right w:val="single" w:color="B8C6CB" w:sz="4"/>
            </w:tcBorders>
            <w:shd w:fill="F5F8F9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52"/>
            </w:pPr>
            <w:r>
              <w:rPr>
                <w:rFonts w:ascii="Arial" w:cs="Arial" w:eastAsia="Arial" w:hAnsi="Arial"/>
                <w:color w:val="1E2A30"/>
                <w:sz w:val="18"/>
                <w:szCs w:val="18"/>
              </w:rPr>
              <w:t xml:space="preserve">Ucrânia: negociações em Genebra sem acordo (fev/2026) e paralisação das conversas (jun/2026)</w:t>
            </w:r>
          </w:p>
        </w:tc>
        <w:tc>
          <w:tcPr>
            <w:tcW w:type="dxa" w:w="6169"/>
            <w:tcBorders>
              <w:top w:val="single" w:color="B8C6CB" w:sz="4"/>
              <w:left w:val="single" w:color="B8C6CB" w:sz="4"/>
              <w:bottom w:val="single" w:color="B8C6CB" w:sz="4"/>
              <w:right w:val="single" w:color="B8C6CB" w:sz="4"/>
            </w:tcBorders>
            <w:shd w:fill="F5F8F9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52"/>
            </w:pPr>
            <w:r>
              <w:rPr>
                <w:rFonts w:ascii="Arial" w:cs="Arial" w:eastAsia="Arial" w:hAnsi="Arial"/>
                <w:color w:val="1E2A30"/>
                <w:sz w:val="18"/>
                <w:szCs w:val="18"/>
              </w:rPr>
              <w:t xml:space="preserve">SBT News: sbtnews.sbt.com.br/noticia/mundo/eua-russia-e-ucrania-terminam-negociacoes-sem-acordo-para-o-fim-da-guerra ; Money Times: moneytimes.com.br/zelenskiy-busca-progresso-em-negociacoes-de-paz-antes-do-inverno-europeu-fets/</w:t>
            </w:r>
          </w:p>
        </w:tc>
      </w:tr>
    </w:tbl>
    <w:p>
      <w:pPr>
        <w:spacing w:after="120"/>
      </w:pPr>
    </w:p>
    <w:p>
      <w:pPr>
        <w:pStyle w:val="Heading1"/>
      </w:pPr>
      <w:r>
        <w:rPr>
          <w:rFonts w:ascii="Arial" w:cs="Arial" w:eastAsia="Arial" w:hAnsi="Arial"/>
        </w:rPr>
        <w:t xml:space="preserve">6. Base legal citada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69"/>
        <w:gridCol w:w="6169"/>
      </w:tblGrid>
      <w:tr>
        <w:trPr>
          <w:cantSplit/>
          <w:tblHeader/>
        </w:trPr>
        <w:tc>
          <w:tcPr>
            <w:tcW w:type="dxa" w:w="3469"/>
            <w:tcBorders>
              <w:top w:val="single" w:color="B8C6CB" w:sz="4"/>
              <w:left w:val="single" w:color="B8C6CB" w:sz="4"/>
              <w:bottom w:val="single" w:color="B8C6CB" w:sz="4"/>
              <w:right w:val="single" w:color="B8C6CB" w:sz="4"/>
            </w:tcBorders>
            <w:shd w:fill="0F4C5C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52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Norma</w:t>
            </w:r>
          </w:p>
        </w:tc>
        <w:tc>
          <w:tcPr>
            <w:tcW w:type="dxa" w:w="6169"/>
            <w:tcBorders>
              <w:top w:val="single" w:color="B8C6CB" w:sz="4"/>
              <w:left w:val="single" w:color="B8C6CB" w:sz="4"/>
              <w:bottom w:val="single" w:color="B8C6CB" w:sz="4"/>
              <w:right w:val="single" w:color="B8C6CB" w:sz="4"/>
            </w:tcBorders>
            <w:shd w:fill="0F4C5C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52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Tema</w:t>
            </w:r>
          </w:p>
        </w:tc>
      </w:tr>
      <w:tr>
        <w:trPr>
          <w:cantSplit/>
          <w:tblHeader w:val="off"/>
        </w:trPr>
        <w:tc>
          <w:tcPr>
            <w:tcW w:type="dxa" w:w="3469"/>
            <w:tcBorders>
              <w:top w:val="single" w:color="B8C6CB" w:sz="4"/>
              <w:left w:val="single" w:color="B8C6CB" w:sz="4"/>
              <w:bottom w:val="single" w:color="B8C6CB" w:sz="4"/>
              <w:right w:val="single" w:color="B8C6C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52"/>
            </w:pPr>
            <w:r>
              <w:rPr>
                <w:rFonts w:ascii="Arial" w:cs="Arial" w:eastAsia="Arial" w:hAnsi="Arial"/>
                <w:color w:val="1E2A30"/>
                <w:sz w:val="18"/>
                <w:szCs w:val="18"/>
              </w:rPr>
              <w:t xml:space="preserve">Constituição Federal de 1988</w:t>
            </w:r>
          </w:p>
        </w:tc>
        <w:tc>
          <w:tcPr>
            <w:tcW w:type="dxa" w:w="6169"/>
            <w:tcBorders>
              <w:top w:val="single" w:color="B8C6CB" w:sz="4"/>
              <w:left w:val="single" w:color="B8C6CB" w:sz="4"/>
              <w:bottom w:val="single" w:color="B8C6CB" w:sz="4"/>
              <w:right w:val="single" w:color="B8C6C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52"/>
            </w:pPr>
            <w:r>
              <w:rPr>
                <w:rFonts w:ascii="Arial" w:cs="Arial" w:eastAsia="Arial" w:hAnsi="Arial"/>
                <w:color w:val="1E2A30"/>
                <w:sz w:val="18"/>
                <w:szCs w:val="18"/>
              </w:rPr>
              <w:t xml:space="preserve">Arts. 14 (elegibilidade), 16 (anualidade eleitoral), 21, 60 (emendas), 62 (medidas provisórias), 144 (segurança pública), 199 (saúde complementar), 206 (gratuidade do ensino público)</w:t>
            </w:r>
          </w:p>
        </w:tc>
      </w:tr>
      <w:tr>
        <w:trPr>
          <w:cantSplit/>
          <w:tblHeader w:val="off"/>
        </w:trPr>
        <w:tc>
          <w:tcPr>
            <w:tcW w:type="dxa" w:w="3469"/>
            <w:tcBorders>
              <w:top w:val="single" w:color="B8C6CB" w:sz="4"/>
              <w:left w:val="single" w:color="B8C6CB" w:sz="4"/>
              <w:bottom w:val="single" w:color="B8C6CB" w:sz="4"/>
              <w:right w:val="single" w:color="B8C6CB" w:sz="4"/>
            </w:tcBorders>
            <w:shd w:fill="F5F8F9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52"/>
            </w:pPr>
            <w:r>
              <w:rPr>
                <w:rFonts w:ascii="Arial" w:cs="Arial" w:eastAsia="Arial" w:hAnsi="Arial"/>
                <w:color w:val="1E2A30"/>
                <w:sz w:val="18"/>
                <w:szCs w:val="18"/>
              </w:rPr>
              <w:t xml:space="preserve">Emenda Constitucional nº 132/2023</w:t>
            </w:r>
          </w:p>
        </w:tc>
        <w:tc>
          <w:tcPr>
            <w:tcW w:type="dxa" w:w="6169"/>
            <w:tcBorders>
              <w:top w:val="single" w:color="B8C6CB" w:sz="4"/>
              <w:left w:val="single" w:color="B8C6CB" w:sz="4"/>
              <w:bottom w:val="single" w:color="B8C6CB" w:sz="4"/>
              <w:right w:val="single" w:color="B8C6CB" w:sz="4"/>
            </w:tcBorders>
            <w:shd w:fill="F5F8F9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52"/>
            </w:pPr>
            <w:r>
              <w:rPr>
                <w:rFonts w:ascii="Arial" w:cs="Arial" w:eastAsia="Arial" w:hAnsi="Arial"/>
                <w:color w:val="1E2A30"/>
                <w:sz w:val="18"/>
                <w:szCs w:val="18"/>
              </w:rPr>
              <w:t xml:space="preserve">Reforma tributária do consumo (CBS, IBS, Imposto Seletivo)</w:t>
            </w:r>
          </w:p>
        </w:tc>
      </w:tr>
      <w:tr>
        <w:trPr>
          <w:cantSplit/>
          <w:tblHeader w:val="off"/>
        </w:trPr>
        <w:tc>
          <w:tcPr>
            <w:tcW w:type="dxa" w:w="3469"/>
            <w:tcBorders>
              <w:top w:val="single" w:color="B8C6CB" w:sz="4"/>
              <w:left w:val="single" w:color="B8C6CB" w:sz="4"/>
              <w:bottom w:val="single" w:color="B8C6CB" w:sz="4"/>
              <w:right w:val="single" w:color="B8C6C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52"/>
            </w:pPr>
            <w:r>
              <w:rPr>
                <w:rFonts w:ascii="Arial" w:cs="Arial" w:eastAsia="Arial" w:hAnsi="Arial"/>
                <w:color w:val="1E2A30"/>
                <w:sz w:val="18"/>
                <w:szCs w:val="18"/>
              </w:rPr>
              <w:t xml:space="preserve">Lei Complementar nº 200/2023</w:t>
            </w:r>
          </w:p>
        </w:tc>
        <w:tc>
          <w:tcPr>
            <w:tcW w:type="dxa" w:w="6169"/>
            <w:tcBorders>
              <w:top w:val="single" w:color="B8C6CB" w:sz="4"/>
              <w:left w:val="single" w:color="B8C6CB" w:sz="4"/>
              <w:bottom w:val="single" w:color="B8C6CB" w:sz="4"/>
              <w:right w:val="single" w:color="B8C6C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52"/>
            </w:pPr>
            <w:r>
              <w:rPr>
                <w:rFonts w:ascii="Arial" w:cs="Arial" w:eastAsia="Arial" w:hAnsi="Arial"/>
                <w:color w:val="1E2A30"/>
                <w:sz w:val="18"/>
                <w:szCs w:val="18"/>
              </w:rPr>
              <w:t xml:space="preserve">Regime fiscal sustentável (arcabouço fiscal)</w:t>
            </w:r>
          </w:p>
        </w:tc>
      </w:tr>
      <w:tr>
        <w:trPr>
          <w:cantSplit/>
          <w:tblHeader w:val="off"/>
        </w:trPr>
        <w:tc>
          <w:tcPr>
            <w:tcW w:type="dxa" w:w="3469"/>
            <w:tcBorders>
              <w:top w:val="single" w:color="B8C6CB" w:sz="4"/>
              <w:left w:val="single" w:color="B8C6CB" w:sz="4"/>
              <w:bottom w:val="single" w:color="B8C6CB" w:sz="4"/>
              <w:right w:val="single" w:color="B8C6CB" w:sz="4"/>
            </w:tcBorders>
            <w:shd w:fill="F5F8F9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52"/>
            </w:pPr>
            <w:r>
              <w:rPr>
                <w:rFonts w:ascii="Arial" w:cs="Arial" w:eastAsia="Arial" w:hAnsi="Arial"/>
                <w:color w:val="1E2A30"/>
                <w:sz w:val="18"/>
                <w:szCs w:val="18"/>
              </w:rPr>
              <w:t xml:space="preserve">Lei Complementar nº 179/2021</w:t>
            </w:r>
          </w:p>
        </w:tc>
        <w:tc>
          <w:tcPr>
            <w:tcW w:type="dxa" w:w="6169"/>
            <w:tcBorders>
              <w:top w:val="single" w:color="B8C6CB" w:sz="4"/>
              <w:left w:val="single" w:color="B8C6CB" w:sz="4"/>
              <w:bottom w:val="single" w:color="B8C6CB" w:sz="4"/>
              <w:right w:val="single" w:color="B8C6CB" w:sz="4"/>
            </w:tcBorders>
            <w:shd w:fill="F5F8F9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52"/>
            </w:pPr>
            <w:r>
              <w:rPr>
                <w:rFonts w:ascii="Arial" w:cs="Arial" w:eastAsia="Arial" w:hAnsi="Arial"/>
                <w:color w:val="1E2A30"/>
                <w:sz w:val="18"/>
                <w:szCs w:val="18"/>
              </w:rPr>
              <w:t xml:space="preserve">Autonomia do Banco Central</w:t>
            </w:r>
          </w:p>
        </w:tc>
      </w:tr>
      <w:tr>
        <w:trPr>
          <w:cantSplit/>
          <w:tblHeader w:val="off"/>
        </w:trPr>
        <w:tc>
          <w:tcPr>
            <w:tcW w:type="dxa" w:w="3469"/>
            <w:tcBorders>
              <w:top w:val="single" w:color="B8C6CB" w:sz="4"/>
              <w:left w:val="single" w:color="B8C6CB" w:sz="4"/>
              <w:bottom w:val="single" w:color="B8C6CB" w:sz="4"/>
              <w:right w:val="single" w:color="B8C6C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52"/>
            </w:pPr>
            <w:r>
              <w:rPr>
                <w:rFonts w:ascii="Arial" w:cs="Arial" w:eastAsia="Arial" w:hAnsi="Arial"/>
                <w:color w:val="1E2A30"/>
                <w:sz w:val="18"/>
                <w:szCs w:val="18"/>
              </w:rPr>
              <w:t xml:space="preserve">Lei nº 14.026/2020</w:t>
            </w:r>
          </w:p>
        </w:tc>
        <w:tc>
          <w:tcPr>
            <w:tcW w:type="dxa" w:w="6169"/>
            <w:tcBorders>
              <w:top w:val="single" w:color="B8C6CB" w:sz="4"/>
              <w:left w:val="single" w:color="B8C6CB" w:sz="4"/>
              <w:bottom w:val="single" w:color="B8C6CB" w:sz="4"/>
              <w:right w:val="single" w:color="B8C6C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52"/>
            </w:pPr>
            <w:r>
              <w:rPr>
                <w:rFonts w:ascii="Arial" w:cs="Arial" w:eastAsia="Arial" w:hAnsi="Arial"/>
                <w:color w:val="1E2A30"/>
                <w:sz w:val="18"/>
                <w:szCs w:val="18"/>
              </w:rPr>
              <w:t xml:space="preserve">Marco Legal do Saneamento</w:t>
            </w:r>
          </w:p>
        </w:tc>
      </w:tr>
      <w:tr>
        <w:trPr>
          <w:cantSplit/>
          <w:tblHeader w:val="off"/>
        </w:trPr>
        <w:tc>
          <w:tcPr>
            <w:tcW w:type="dxa" w:w="3469"/>
            <w:tcBorders>
              <w:top w:val="single" w:color="B8C6CB" w:sz="4"/>
              <w:left w:val="single" w:color="B8C6CB" w:sz="4"/>
              <w:bottom w:val="single" w:color="B8C6CB" w:sz="4"/>
              <w:right w:val="single" w:color="B8C6CB" w:sz="4"/>
            </w:tcBorders>
            <w:shd w:fill="F5F8F9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52"/>
            </w:pPr>
            <w:r>
              <w:rPr>
                <w:rFonts w:ascii="Arial" w:cs="Arial" w:eastAsia="Arial" w:hAnsi="Arial"/>
                <w:color w:val="1E2A30"/>
                <w:sz w:val="18"/>
                <w:szCs w:val="18"/>
              </w:rPr>
              <w:t xml:space="preserve">Lei nº 13.260/2016</w:t>
            </w:r>
          </w:p>
        </w:tc>
        <w:tc>
          <w:tcPr>
            <w:tcW w:type="dxa" w:w="6169"/>
            <w:tcBorders>
              <w:top w:val="single" w:color="B8C6CB" w:sz="4"/>
              <w:left w:val="single" w:color="B8C6CB" w:sz="4"/>
              <w:bottom w:val="single" w:color="B8C6CB" w:sz="4"/>
              <w:right w:val="single" w:color="B8C6CB" w:sz="4"/>
            </w:tcBorders>
            <w:shd w:fill="F5F8F9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52"/>
            </w:pPr>
            <w:r>
              <w:rPr>
                <w:rFonts w:ascii="Arial" w:cs="Arial" w:eastAsia="Arial" w:hAnsi="Arial"/>
                <w:color w:val="1E2A30"/>
                <w:sz w:val="18"/>
                <w:szCs w:val="18"/>
              </w:rPr>
              <w:t xml:space="preserve">Lei antiterrorismo</w:t>
            </w:r>
          </w:p>
        </w:tc>
      </w:tr>
      <w:tr>
        <w:trPr>
          <w:cantSplit/>
          <w:tblHeader w:val="off"/>
        </w:trPr>
        <w:tc>
          <w:tcPr>
            <w:tcW w:type="dxa" w:w="3469"/>
            <w:tcBorders>
              <w:top w:val="single" w:color="B8C6CB" w:sz="4"/>
              <w:left w:val="single" w:color="B8C6CB" w:sz="4"/>
              <w:bottom w:val="single" w:color="B8C6CB" w:sz="4"/>
              <w:right w:val="single" w:color="B8C6C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52"/>
            </w:pPr>
            <w:r>
              <w:rPr>
                <w:rFonts w:ascii="Arial" w:cs="Arial" w:eastAsia="Arial" w:hAnsi="Arial"/>
                <w:color w:val="1E2A30"/>
                <w:sz w:val="18"/>
                <w:szCs w:val="18"/>
              </w:rPr>
              <w:t xml:space="preserve">Código Penal, art. 128; STF, ADPF 54</w:t>
            </w:r>
          </w:p>
        </w:tc>
        <w:tc>
          <w:tcPr>
            <w:tcW w:type="dxa" w:w="6169"/>
            <w:tcBorders>
              <w:top w:val="single" w:color="B8C6CB" w:sz="4"/>
              <w:left w:val="single" w:color="B8C6CB" w:sz="4"/>
              <w:bottom w:val="single" w:color="B8C6CB" w:sz="4"/>
              <w:right w:val="single" w:color="B8C6CB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52"/>
            </w:pPr>
            <w:r>
              <w:rPr>
                <w:rFonts w:ascii="Arial" w:cs="Arial" w:eastAsia="Arial" w:hAnsi="Arial"/>
                <w:color w:val="1E2A30"/>
                <w:sz w:val="18"/>
                <w:szCs w:val="18"/>
              </w:rPr>
              <w:t xml:space="preserve">Hipóteses legais de aborto</w:t>
            </w:r>
          </w:p>
        </w:tc>
      </w:tr>
      <w:tr>
        <w:trPr>
          <w:cantSplit/>
          <w:tblHeader w:val="off"/>
        </w:trPr>
        <w:tc>
          <w:tcPr>
            <w:tcW w:type="dxa" w:w="3469"/>
            <w:tcBorders>
              <w:top w:val="single" w:color="B8C6CB" w:sz="4"/>
              <w:left w:val="single" w:color="B8C6CB" w:sz="4"/>
              <w:bottom w:val="single" w:color="B8C6CB" w:sz="4"/>
              <w:right w:val="single" w:color="B8C6CB" w:sz="4"/>
            </w:tcBorders>
            <w:shd w:fill="F5F8F9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52"/>
            </w:pPr>
            <w:r>
              <w:rPr>
                <w:rFonts w:ascii="Arial" w:cs="Arial" w:eastAsia="Arial" w:hAnsi="Arial"/>
                <w:color w:val="1E2A30"/>
                <w:sz w:val="18"/>
                <w:szCs w:val="18"/>
              </w:rPr>
              <w:t xml:space="preserve">Resoluções 1701, 2334 e 2758 (ONU)</w:t>
            </w:r>
          </w:p>
        </w:tc>
        <w:tc>
          <w:tcPr>
            <w:tcW w:type="dxa" w:w="6169"/>
            <w:tcBorders>
              <w:top w:val="single" w:color="B8C6CB" w:sz="4"/>
              <w:left w:val="single" w:color="B8C6CB" w:sz="4"/>
              <w:bottom w:val="single" w:color="B8C6CB" w:sz="4"/>
              <w:right w:val="single" w:color="B8C6CB" w:sz="4"/>
            </w:tcBorders>
            <w:shd w:fill="F5F8F9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52"/>
            </w:pPr>
            <w:r>
              <w:rPr>
                <w:rFonts w:ascii="Arial" w:cs="Arial" w:eastAsia="Arial" w:hAnsi="Arial"/>
                <w:color w:val="1E2A30"/>
                <w:sz w:val="18"/>
                <w:szCs w:val="18"/>
              </w:rPr>
              <w:t xml:space="preserve">Líbano; assentamentos; representação da China</w:t>
            </w:r>
          </w:p>
        </w:tc>
      </w:tr>
    </w:tbl>
    <w:p>
      <w:pPr>
        <w:spacing w:after="120"/>
      </w:pPr>
    </w:p>
    <w:sectPr>
      <w:headerReference w:type="default" r:id="rId6"/>
      <w:headerReference w:type="first" r:id="rId7"/>
      <w:footerReference w:type="default" r:id="rId8"/>
      <w:footerReference w:type="first" r:id="rId9"/>
      <w:pgSz w:w="11906" w:h="16838" w:orient="portrait"/>
      <w:pgMar w:top="1300" w:right="1134" w:bottom="1200" w:left="1134" w:header="600" w:footer="600" w:gutter="0"/>
      <w:pgNumType/>
      <w:titlePg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5A6B73"/>
        <w:sz w:val="16"/>
        <w:szCs w:val="16"/>
      </w:rPr>
      <w:t xml:space="preserve">Simulação fictícia • Eleições Presidenciais das IAs • Brasil 2026   |   Página </w:t>
    </w:r>
    <w:r>
      <w:rPr>
        <w:rFonts w:ascii="Arial" w:cs="Arial" w:eastAsia="Arial" w:hAnsi="Arial"/>
        <w:color w:val="5A6B73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5A6B73"/>
        <w:sz w:val="16"/>
        <w:szCs w:val="16"/>
      </w:rPr>
      <w:t xml:space="preserve"> de </w:t>
    </w:r>
    <w:r>
      <w:rPr>
        <w:rFonts w:ascii="Arial" w:cs="Arial" w:eastAsia="Arial" w:hAnsi="Arial"/>
        <w:color w:val="5A6B73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/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B8C6CB" w:sz="4" w:space="4"/>
      </w:pBdr>
    </w:pPr>
    <w:r>
      <w:rPr>
        <w:rFonts w:ascii="Arial" w:cs="Arial" w:eastAsia="Arial" w:hAnsi="Arial"/>
        <w:b/>
        <w:bCs/>
        <w:color w:val="0F4C5C"/>
        <w:sz w:val="16"/>
        <w:szCs w:val="16"/>
      </w:rPr>
      <w:t xml:space="preserve">ALICERCE · Inês Aragão — Plano 2027–2030</w:t>
    </w:r>
    <w:r>
      <w:rPr>
        <w:rFonts w:ascii="Arial" w:cs="Arial" w:eastAsia="Arial" w:hAnsi="Arial"/>
        <w:color w:val="5A6B73"/>
        <w:sz w:val="16"/>
        <w:szCs w:val="16"/>
      </w:rPr>
      <w:t xml:space="preserve">   |   Volume 12: Referências e fontes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/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bullet"/>
      <w:lvlText w:val="•"/>
      <w:lvlJc w:val="left"/>
      <w:pPr>
        <w:ind w:left="500" w:hanging="280"/>
      </w:pPr>
    </w:lvl>
    <w:lvl w:ilvl="1" w:tentative="1">
      <w:start w:val="1"/>
      <w:numFmt w:val="bullet"/>
      <w:lvlText w:val="–"/>
      <w:lvlJc w:val="left"/>
      <w:pPr>
        <w:ind w:left="1000" w:hanging="28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updateFields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1E2A30"/>
        <w:sz w:val="21"/>
        <w:szCs w:val="21"/>
      </w:rPr>
    </w:rPrDefault>
    <w:pPrDefault/>
  </w:docDefaults>
  <w:style w:type="paragraph" w:styleId="Normal" w:default="1">
    <w:name w:val="Normal"/>
    <w:qFormat/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pBdr>
        <w:bottom w:val="single" w:color="D99A2B" w:sz="8" w:space="4"/>
      </w:pBdr>
      <w:spacing w:after="200" w:before="240"/>
      <w:outlineLvl w:val="0"/>
    </w:pPr>
    <w:rPr>
      <w:rFonts w:ascii="Arial" w:cs="Arial" w:eastAsia="Arial" w:hAnsi="Arial"/>
      <w:b/>
      <w:bCs/>
      <w:color w:val="0F4C5C"/>
      <w:sz w:val="34"/>
      <w:szCs w:val="34"/>
    </w:rPr>
  </w:style>
  <w:style w:type="paragraph" w:styleId="Heading2">
    <w:name w:val="Heading 2"/>
    <w:basedOn w:val="Normal"/>
    <w:next w:val="Normal"/>
    <w:qFormat/>
    <w:pPr>
      <w:keepNext/>
      <w:spacing w:after="140" w:before="280"/>
      <w:outlineLvl w:val="1"/>
    </w:pPr>
    <w:rPr>
      <w:rFonts w:ascii="Arial" w:cs="Arial" w:eastAsia="Arial" w:hAnsi="Arial"/>
      <w:b/>
      <w:bCs/>
      <w:color w:val="0F4C5C"/>
      <w:sz w:val="27"/>
      <w:szCs w:val="27"/>
    </w:rPr>
  </w:style>
  <w:style w:type="paragraph" w:styleId="Heading3">
    <w:name w:val="Heading 3"/>
    <w:basedOn w:val="Normal"/>
    <w:next w:val="Normal"/>
    <w:qFormat/>
    <w:pPr>
      <w:keepNext/>
      <w:spacing w:after="100" w:before="200"/>
      <w:outlineLvl w:val="2"/>
    </w:pPr>
    <w:rPr>
      <w:rFonts w:ascii="Arial" w:cs="Arial" w:eastAsia="Arial" w:hAnsi="Arial"/>
      <w:b/>
      <w:bCs/>
      <w:color w:val="B5482F"/>
      <w:sz w:val="23"/>
      <w:szCs w:val="23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header" Target="header1.xml"/><Relationship Id="rId7" Type="http://schemas.openxmlformats.org/officeDocument/2006/relationships/header" Target="header2.xml"/><Relationship Id="rId8" Type="http://schemas.openxmlformats.org/officeDocument/2006/relationships/footer" Target="footer1.xml"/><Relationship Id="rId9" Type="http://schemas.openxmlformats.org/officeDocument/2006/relationships/footer" Target="footer2.xml"/><Relationship Id="rId10" Type="http://schemas.openxmlformats.org/officeDocument/2006/relationships/theme" Target="theme/theme1.xml"/><Relationship Id="rId11" Type="http://schemas.openxmlformats.org/officeDocument/2006/relationships/image" Target="media/d82b4b03bd21f639871f9c1ed8c6a97cb5be6670.png"/><Relationship Id="rId12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er2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word/_rels/header2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Referências Bibliográficas e Fontes dos Dados</dc:title>
  <dc:creator>Campanha fictícia ALICERCE</dc:creator>
  <dc:description>Simulação fictícia — Eleições Presidenciais das IAs — Brasil 2026</dc:description>
  <cp:lastModifiedBy>Un-named</cp:lastModifiedBy>
  <cp:revision>1</cp:revision>
  <dcterms:created xsi:type="dcterms:W3CDTF">2026-10-20T05:37:44.491Z</dcterms:created>
  <dcterms:modified xsi:type="dcterms:W3CDTF">2026-10-20T05:37:44.491Z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