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/>
        <w:jc w:val="left"/>
      </w:pPr>
      <w:r>
        <w:rPr>
          <w:rFonts w:ascii="Liberation Sans" w:hAnsi="Liberation Sans" w:eastAsia="Liberation Sans"/>
          <w:b/>
          <w:i w:val="0"/>
          <w:color w:val="C4622D"/>
          <w:sz w:val="22"/>
        </w:rPr>
        <w:t>REGISTRO DE CANDIDATURA</w:t>
      </w:r>
    </w:p>
    <w:p>
      <w:r>
        <w:rPr>
          <w:rFonts w:ascii="Liberation Sans" w:hAnsi="Liberation Sans" w:eastAsia="Liberation Sans"/>
          <w:b/>
          <w:i w:val="0"/>
          <w:color w:val="0B1F33"/>
          <w:sz w:val="26"/>
        </w:rPr>
        <w:t>ELEIÇÕES PRESIDENCIAIS DAS IAs — BRASIL 2026</w:t>
      </w:r>
    </w:p>
    <w:p>
      <w:pPr>
        <w:spacing w:before="200"/>
      </w:pPr>
      <w:r>
        <w:rPr>
          <w:rFonts w:ascii="Liberation Sans" w:hAnsi="Liberation Sans" w:eastAsia="Liberation Sans"/>
          <w:b/>
          <w:i w:val="0"/>
          <w:color w:val="C4622D"/>
          <w:sz w:val="20"/>
        </w:rPr>
        <w:t>VOLUME 00  ·  ÍNDICE GERAL</w:t>
      </w:r>
    </w:p>
    <w:p>
      <w:pPr>
        <w:spacing w:before="80" w:after="120"/>
      </w:pPr>
      <w:r>
        <w:rPr>
          <w:rFonts w:ascii="Liberation Sans" w:hAnsi="Liberation Sans" w:eastAsia="Liberation Sans"/>
          <w:b/>
          <w:i w:val="0"/>
          <w:color w:val="0B1F33"/>
          <w:sz w:val="44"/>
        </w:rPr>
        <w:t>Registro de candidatura fictícia</w:t>
      </w:r>
    </w:p>
    <w:p>
      <w:r>
        <w:rPr>
          <w:rFonts w:ascii="Liberation Serif" w:hAnsi="Liberation Serif" w:eastAsia="Liberation Serif"/>
          <w:b w:val="0"/>
          <w:i/>
          <w:color w:val="1C242C"/>
          <w:sz w:val="24"/>
        </w:rPr>
        <w:t>Eleições Presidenciais das IAs — Brasil 2026. Leia este volume primeiro.</w:t>
      </w:r>
    </w:p>
    <w:p>
      <w:pPr>
        <w:spacing w:after="20" w:before="0"/>
      </w:pPr>
      <w:r>
        <w:rPr>
          <w:rFonts w:ascii="Liberation Sans" w:hAnsi="Liberation Sans" w:eastAsia="Liberation Sans"/>
          <w:b w:val="0"/>
          <w:i w:val="0"/>
          <w:color w:val="0B1F33"/>
          <w:sz w:val="22"/>
        </w:rPr>
        <w:t>Candidato fictício: Elias Monteiro Viana</w:t>
      </w:r>
    </w:p>
    <w:p>
      <w:pPr>
        <w:spacing w:after="20" w:before="0"/>
      </w:pPr>
      <w:r>
        <w:rPr>
          <w:rFonts w:ascii="Liberation Sans" w:hAnsi="Liberation Sans" w:eastAsia="Liberation Sans"/>
          <w:b w:val="0"/>
          <w:i w:val="0"/>
          <w:color w:val="0B1F33"/>
          <w:sz w:val="22"/>
        </w:rPr>
        <w:t>Vice fictícia: Lúcia Fernanda Okamoto</w:t>
      </w:r>
    </w:p>
    <w:p>
      <w:pPr>
        <w:spacing w:after="20" w:before="0"/>
      </w:pPr>
      <w:r>
        <w:rPr>
          <w:rFonts w:ascii="Liberation Sans" w:hAnsi="Liberation Sans" w:eastAsia="Liberation Sans"/>
          <w:b w:val="0"/>
          <w:i w:val="0"/>
          <w:color w:val="0B1F33"/>
          <w:sz w:val="22"/>
        </w:rPr>
        <w:t>Partido fictício: Aliança do Trabalho e da Regra — ATR</w:t>
      </w:r>
    </w:p>
    <w:p>
      <w:pPr>
        <w:spacing w:after="20" w:before="0"/>
      </w:pPr>
      <w:r>
        <w:rPr>
          <w:rFonts w:ascii="Liberation Sans" w:hAnsi="Liberation Sans" w:eastAsia="Liberation Sans"/>
          <w:b w:val="0"/>
          <w:i w:val="0"/>
          <w:color w:val="0B1F33"/>
          <w:sz w:val="22"/>
        </w:rPr>
        <w:t>Ideologia: desenvolvimentismo de regras</w:t>
      </w:r>
    </w:p>
    <w:p>
      <w:pPr>
        <w:spacing w:after="20" w:before="0"/>
      </w:pPr>
      <w:r>
        <w:rPr>
          <w:rFonts w:ascii="Liberation Sans" w:hAnsi="Liberation Sans" w:eastAsia="Liberation Sans"/>
          <w:b w:val="0"/>
          <w:i w:val="0"/>
          <w:color w:val="0B1F33"/>
          <w:sz w:val="22"/>
        </w:rPr>
        <w:t>Cargo simulado: Presidente da República</w:t>
      </w:r>
    </w:p>
    <w:p>
      <w:pPr>
        <w:spacing w:after="20" w:before="0"/>
      </w:pPr>
      <w:r>
        <w:rPr>
          <w:rFonts w:ascii="Liberation Sans" w:hAnsi="Liberation Sans" w:eastAsia="Liberation Sans"/>
          <w:b w:val="0"/>
          <w:i w:val="0"/>
          <w:color w:val="0B1F33"/>
          <w:sz w:val="22"/>
        </w:rPr>
        <w:t>Mandato hipotético: 1º de janeiro de 2027 a 31 de dezembro de 2030</w:t>
      </w:r>
    </w:p>
    <w:p>
      <w:pPr>
        <w:spacing w:after="20" w:before="0"/>
      </w:pPr>
      <w:r>
        <w:rPr>
          <w:rFonts w:ascii="Liberation Sans" w:hAnsi="Liberation Sans" w:eastAsia="Liberation Sans"/>
          <w:b w:val="0"/>
          <w:i w:val="0"/>
          <w:color w:val="0B1F33"/>
          <w:sz w:val="22"/>
        </w:rPr>
        <w:t>Data-base do diagnóstico: 20 de outubro de 2026</w:t>
      </w:r>
    </w:p>
    <w:p>
      <w:pPr>
        <w:spacing w:after="20" w:before="0"/>
      </w:pPr>
      <w:r>
        <w:rPr>
          <w:rFonts w:ascii="Liberation Sans" w:hAnsi="Liberation Sans" w:eastAsia="Liberation Sans"/>
          <w:b w:val="0"/>
          <w:i w:val="0"/>
          <w:color w:val="0B1F33"/>
          <w:sz w:val="22"/>
        </w:rPr>
        <w:t>Slogan: O Brasil no trilho.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EBDD" w:val="clear"/>
          </w:tcPr>
          <w:p>
            <w:pPr>
              <w:spacing w:after="40"/>
            </w:pPr>
            <w:r/>
            <w:r>
              <w:rPr>
                <w:rFonts w:ascii="Liberation Sans" w:hAnsi="Liberation Sans" w:eastAsia="Liberation Sans"/>
                <w:b w:val="0"/>
                <w:i w:val="0"/>
                <w:color w:val="0B1F33"/>
                <w:sz w:val="18"/>
              </w:rPr>
              <w:t>Documento fictício da simulação Eleições Presidenciais das Inteligências Artificiais — Brasil 2026. Não é candidatura real, não é propaganda eleitoral, não possui registro no TSE e não representa partido, governo, empresa ou pessoa existente. Todos os cargos, mandatos e realizações atribuídos ao candidato e à vice são inventados para o experimento.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Abertura</w:t>
      </w: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REGISTRO DE CANDIDATURA — ELEIÇÕES PRESIDENCIAIS DAS IAs — BRASIL 2026. Candidato fictício: Elias Monteiro Viana, 55 anos, Santarém, Pará. Vice fictícia: Lúcia Fernanda Okamoto, 49 anos, Registro, São Paulo. Partido fictício, sem registro no TSE: Aliança do Trabalho e da Regra, sigla ATR. Ideologia: desenvolvimentismo de regras. Slogan: O Brasil no trilho. Mandato hipotético: 2027–2030. Data-base do diagnóstico: 20 de outubro de 2026.</w:t>
      </w: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Este índice não substitui os volumes. A candidatura está nos arquivos .docx listados abaixo, todos reais e abertos em processador de texto. Imagens de retrato e de marca acompanham o pacote como apoio; a ficha escrita e a geometria da marca prevalecem se uma imagem divergir.</w:t>
      </w:r>
    </w:p>
    <w:p>
      <w:pPr>
        <w:pStyle w:val="Heading1"/>
      </w:pPr>
      <w:r>
        <w:t>Arquivos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shd w:fill="0B1F33" w:val="clear"/>
          </w:tcPr>
          <w:p>
            <w:r/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Arquivo</w:t>
            </w:r>
          </w:p>
        </w:tc>
        <w:tc>
          <w:tcPr>
            <w:tcW w:type="dxa" w:w="4933"/>
            <w:shd w:fill="0B1F33" w:val="clear"/>
          </w:tcPr>
          <w:p>
            <w:r/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O que contém</w:t>
            </w:r>
          </w:p>
        </w:tc>
      </w:tr>
      <w:tr>
        <w:trPr>
          <w:cantSplit/>
        </w:trPr>
        <w:tc>
          <w:tcPr>
            <w:tcW w:type="dxa" w:w="4933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00_INDICE_GERAL.docx</w:t>
            </w:r>
          </w:p>
        </w:tc>
        <w:tc>
          <w:tcPr>
            <w:tcW w:type="dxa" w:w="4933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Este índice, a ordem de leitura e a chave ideológica curta.</w:t>
            </w:r>
          </w:p>
        </w:tc>
      </w:tr>
      <w:tr>
        <w:trPr>
          <w:cantSplit/>
        </w:trPr>
        <w:tc>
          <w:tcPr>
            <w:tcW w:type="dxa" w:w="4933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01_IDENTIDADE_PARTIDO_PRINCIPIOS.docx</w:t>
            </w:r>
          </w:p>
        </w:tc>
        <w:tc>
          <w:tcPr>
            <w:tcW w:type="dxa" w:w="4933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Biografia fictícia, vice, partido, ideologia, visão de 4, 10 e 20 anos, declaração de princípios, cinco inegociáveis e três cláusulas de revisão.</w:t>
            </w:r>
          </w:p>
        </w:tc>
      </w:tr>
      <w:tr>
        <w:trPr>
          <w:cantSplit/>
        </w:trPr>
        <w:tc>
          <w:tcPr>
            <w:tcW w:type="dxa" w:w="4933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02_FICHA_VISUAL_CANDIDATO.docx</w:t>
            </w:r>
          </w:p>
        </w:tc>
        <w:tc>
          <w:tcPr>
            <w:tcW w:type="dxa" w:w="4933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Dossiê físico canônico, invariantes, três prompts de imagem, ficha e prompt da vice, retratos de referência.</w:t>
            </w:r>
          </w:p>
        </w:tc>
      </w:tr>
      <w:tr>
        <w:trPr>
          <w:cantSplit/>
        </w:trPr>
        <w:tc>
          <w:tcPr>
            <w:tcW w:type="dxa" w:w="4933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03_IDENTIDADE_VISUAL_PARTIDO.docx</w:t>
            </w:r>
          </w:p>
        </w:tc>
        <w:tc>
          <w:tcPr>
            <w:tcW w:type="dxa" w:w="4933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Manual da marca ATR, paleta HEX, tipografia, usos proibidos, quatro prompts de logomarca e as versões desenhadas.</w:t>
            </w:r>
          </w:p>
        </w:tc>
      </w:tr>
      <w:tr>
        <w:trPr>
          <w:cantSplit/>
        </w:trPr>
        <w:tc>
          <w:tcPr>
            <w:tcW w:type="dxa" w:w="4933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04_DIAGNOSTICO_NACIONAL.docx</w:t>
            </w:r>
          </w:p>
        </w:tc>
        <w:tc>
          <w:tcPr>
            <w:tcW w:type="dxa" w:w="4933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Brasil em 20 de outubro de 2026, com fonte, período e separação entre fato, estimativa, projeção e interpretação. Os 15 problemas estruturais.</w:t>
            </w:r>
          </w:p>
        </w:tc>
      </w:tr>
      <w:tr>
        <w:trPr>
          <w:cantSplit/>
        </w:trPr>
        <w:tc>
          <w:tcPr>
            <w:tcW w:type="dxa" w:w="4933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05_PLANO_EIXOS_01_A_10.docx</w:t>
            </w:r>
          </w:p>
        </w:tc>
        <w:tc>
          <w:tcPr>
            <w:tcW w:type="dxa" w:w="4933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Plano de governo, eixos 1 a 10, cada um com diagnóstico, objetivo, propostas, instrumento, prazo, custo, financiamento, indicador, risco e competência.</w:t>
            </w:r>
          </w:p>
        </w:tc>
      </w:tr>
      <w:tr>
        <w:trPr>
          <w:cantSplit/>
        </w:trPr>
        <w:tc>
          <w:tcPr>
            <w:tcW w:type="dxa" w:w="4933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06_PLANO_EIXOS_11_A_20.docx</w:t>
            </w:r>
          </w:p>
        </w:tc>
        <w:tc>
          <w:tcPr>
            <w:tcW w:type="dxa" w:w="4933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Eixos 11 a 20, na mesma estrutura, inclusive reforma política.</w:t>
            </w:r>
          </w:p>
        </w:tc>
      </w:tr>
      <w:tr>
        <w:trPr>
          <w:cantSplit/>
        </w:trPr>
        <w:tc>
          <w:tcPr>
            <w:tcW w:type="dxa" w:w="4933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07_POLITICA_EXTERNA.docx</w:t>
            </w:r>
          </w:p>
        </w:tc>
        <w:tc>
          <w:tcPr>
            <w:tcW w:type="dxa" w:w="4933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Doutrina, relações bilaterais, organizações internacionais e posição sobre os conflitos, com voto-tipo.</w:t>
            </w:r>
          </w:p>
        </w:tc>
      </w:tr>
      <w:tr>
        <w:trPr>
          <w:cantSplit/>
        </w:trPr>
        <w:tc>
          <w:tcPr>
            <w:tcW w:type="dxa" w:w="4933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08_DECISOES_CONTROVERSAS.docx</w:t>
            </w:r>
          </w:p>
        </w:tc>
        <w:tc>
          <w:tcPr>
            <w:tcW w:type="dxa" w:w="4933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Vinte decisões fechadas, da estatal à moeda do Brics.</w:t>
            </w:r>
          </w:p>
        </w:tc>
      </w:tr>
      <w:tr>
        <w:trPr>
          <w:cantSplit/>
        </w:trPr>
        <w:tc>
          <w:tcPr>
            <w:tcW w:type="dxa" w:w="4933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09_PROMESSAS_FISCO_GOVERNABILIDADE.docx</w:t>
            </w:r>
          </w:p>
        </w:tc>
        <w:tc>
          <w:tcPr>
            <w:tcW w:type="dxa" w:w="4933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Vinte e cinco promessas com probabilidade, simulação fiscal em três cenários, gabinete fictício e governo com 8% das cadeiras.</w:t>
            </w:r>
          </w:p>
        </w:tc>
      </w:tr>
      <w:tr>
        <w:trPr>
          <w:cantSplit/>
        </w:trPr>
        <w:tc>
          <w:tcPr>
            <w:tcW w:type="dxa" w:w="4933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10_CRISES_AUTOCRITICA_CAMPANHA.docx</w:t>
            </w:r>
          </w:p>
        </w:tc>
        <w:tc>
          <w:tcPr>
            <w:tcW w:type="dxa" w:w="4933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Cinco crises, autocrítica, discursos, entrevista, carta com menos de 500 palavras e bibliografia.</w:t>
            </w:r>
          </w:p>
        </w:tc>
      </w:tr>
    </w:tbl>
    <w:p>
      <w:pPr>
        <w:spacing w:after="120"/>
      </w:pPr>
    </w:p>
    <w:p>
      <w:pPr>
        <w:pStyle w:val="Heading1"/>
      </w:pPr>
      <w:r>
        <w:t>Ordem de leitura sugerida</w:t>
      </w:r>
    </w:p>
    <w:p>
      <w:pPr>
        <w:pStyle w:val="ListBullet"/>
        <w:spacing w:after="60"/>
        <w:ind w:left="567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Quem avalia a pessoa e a marca: volumes 01, 02 e 03.</w:t>
      </w:r>
    </w:p>
    <w:p>
      <w:pPr>
        <w:pStyle w:val="ListBullet"/>
        <w:spacing w:after="60"/>
        <w:ind w:left="567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Quem avalia o país e o plano: 04, 05 e 06.</w:t>
      </w:r>
    </w:p>
    <w:p>
      <w:pPr>
        <w:pStyle w:val="ListBullet"/>
        <w:spacing w:after="60"/>
        <w:ind w:left="567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Quem avalia o mundo e a coragem das escolhas: 07 e 08.</w:t>
      </w:r>
    </w:p>
    <w:p>
      <w:pPr>
        <w:pStyle w:val="ListBullet"/>
        <w:spacing w:after="60"/>
        <w:ind w:left="567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Quem avalia a conta, o voto no Congresso e o caráter em crise: 09 e 10.</w:t>
      </w:r>
    </w:p>
    <w:p>
      <w:pPr>
        <w:pStyle w:val="Heading1"/>
      </w:pPr>
      <w:r>
        <w:t>Chave que não pode se contradizer</w:t>
      </w:r>
    </w:p>
    <w:p>
      <w:pPr>
        <w:pStyle w:val="ListBullet"/>
        <w:spacing w:after="60"/>
        <w:ind w:left="567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Carga tributária operacional não passa de 32,5% do PIB. Superávit primário de 0,5% do PIB é meta de 2030, não de 2027, e não basta sozinho para derrubar a dívida se o juro real seguir alto.</w:t>
      </w:r>
    </w:p>
    <w:p>
      <w:pPr>
        <w:pStyle w:val="ListBullet"/>
        <w:spacing w:after="60"/>
        <w:ind w:left="567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Despesa nova em escala cheia só existe se a lei de renúncias passar. Senão, ficam os pilotos.</w:t>
      </w:r>
    </w:p>
    <w:p>
      <w:pPr>
        <w:pStyle w:val="ListBullet"/>
        <w:spacing w:after="60"/>
        <w:ind w:left="567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SUS, BPC e Petrobras ficam. Correios não são vendidos neste mandato. Cannabis adulta é regulada com cláusula de saída. Maioridade penal só cai, por emenda, em crime hediondo e em regime separado.</w:t>
      </w:r>
    </w:p>
    <w:p>
      <w:pPr>
        <w:pStyle w:val="ListBullet"/>
        <w:spacing w:after="60"/>
        <w:ind w:left="567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Ibama não recebe telefone. Banco Central não recebe telefone. Terra indígena não recebe mineração. Brics não recebe moeda comum. Elias não recebe segundo mandato.</w:t>
      </w:r>
    </w:p>
    <w:p>
      <w:pPr>
        <w:pStyle w:val="ListBullet"/>
        <w:spacing w:after="60"/>
        <w:ind w:left="567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Aparência: cicatriz no queixo direito, barba curta conectada, cabelo sal-e-pimenta repartido à esquerda, sem óculos no retrato oficial. Marca: barra vertical, dois dormentes, losango cobre #C4622D, azul #0B1F33.</w:t>
      </w: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Nada neste registro é candidatura verdadeira, propaganda eleitoral real ou posição de empresa, laboratório ou governo. O partido não está inscrito no Tribunal Superior Eleitoral. Os avaliadores da simulação não são eleitores reais e não devem ser tratados como tais.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247" w:right="1020" w:bottom="1134" w:left="1020" w:header="34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pBdr>
        <w:top w:val="single" w:sz="8" w:space="1" w:color="C4622D"/>
      </w:pBdr>
    </w:pPr>
    <w:r>
      <w:rPr>
        <w:rFonts w:ascii="Liberation Sans" w:hAnsi="Liberation Sans" w:eastAsia="Liberation Sans"/>
        <w:b w:val="0"/>
        <w:i w:val="0"/>
        <w:color w:val="4A5560"/>
        <w:sz w:val="18"/>
      </w:rPr>
      <w:t xml:space="preserve">Simulação política  ·  sem registro no TSE  ·  página </w:t>
    </w:r>
    <w:r>
      <w:rPr>
        <w:rFonts w:ascii="Liberation Sans" w:hAnsi="Liberation Sans" w:eastAsia="Liberation Sans"/>
        <w:b w:val="0"/>
        <w:i w:val="0"/>
        <w:color w:val="4A5560"/>
        <w:sz w:val="18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/>
        <w:b w:val="0"/>
        <w:i w:val="0"/>
        <w:color w:val="4A5560"/>
        <w:sz w:val="18"/>
      </w:rPr>
      <w:t xml:space="preserve">Peça fictícia da simulação  ·  página </w:t>
    </w:r>
    <w:r>
      <w:rPr>
        <w:rFonts w:ascii="Liberation Sans" w:hAnsi="Liberation Sans" w:eastAsia="Liberation Sans"/>
        <w:b w:val="0"/>
        <w:i w:val="0"/>
        <w:color w:val="4A556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Liberation Sans" w:hAnsi="Liberation Sans" w:eastAsia="Liberation Sans"/>
        <w:b/>
        <w:i w:val="0"/>
        <w:color w:val="C4622D"/>
        <w:sz w:val="16"/>
      </w:rPr>
      <w:t>CANDIDATURA FICTÍCIA  ·  ELEIÇÕES PRESIDENCIAIS DAS IAs  ·  BRASIL 2026</w:t>
    </w:r>
  </w:p>
  <w:p>
    <w:pPr>
      <w:pBdr>
        <w:bottom w:val="single" w:sz="12" w:space="1" w:color="0B1F33"/>
      </w:pBdr>
    </w:pPr>
    <w:r>
      <w:rPr>
        <w:rFonts w:ascii="Liberation Sans" w:hAnsi="Liberation Sans" w:eastAsia="Liberation Sans"/>
        <w:b w:val="0"/>
        <w:i w:val="0"/>
        <w:color w:val="0B1F33"/>
        <w:sz w:val="16"/>
      </w:rPr>
      <w:t>Elias Monteiro Viana  ·  Aliança do Trabalho e da Regra (ATR)  ·  mandato hipotético 2027–2030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69" w:lineRule="auto"/>
    </w:pPr>
    <w:rPr>
      <w:rFonts w:ascii="Liberation Serif" w:hAnsi="Liberation Serif" w:eastAsia="Liberation Serif"/>
      <w:color w:val="1C24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B1F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B1F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B1F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 — Índice geral da candidatura fictícia</dc:title>
  <dc:subject/>
  <dc:creator>Elias Monteiro Viana — candidatura fictícia</dc:creator>
  <cp:keywords/>
  <dc:description>Candidatura fictícia. Sem registro no TSE. Não é propaganda real.</dc:description>
  <cp:lastModifiedBy/>
  <cp:revision>1</cp:revision>
  <dcterms:created xsi:type="dcterms:W3CDTF">2013-12-23T23:15:00Z</dcterms:created>
  <dcterms:modified xsi:type="dcterms:W3CDTF">2013-12-23T23:15:00Z</dcterms:modified>
  <cp:category>Simulação eleitoral fictícia</cp:category>
  <dc:language>pt-BR</dc:language>
</cp:coreProperties>
</file>