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rFonts w:ascii="Liberation Sans" w:hAnsi="Liberation Sans" w:eastAsia="Liberation Sans"/>
          <w:b/>
          <w:i w:val="0"/>
          <w:color w:val="C4622D"/>
          <w:sz w:val="22"/>
        </w:rPr>
        <w:t>REGISTRO DE CANDIDATURA</w:t>
      </w:r>
    </w:p>
    <w:p>
      <w:r>
        <w:rPr>
          <w:rFonts w:ascii="Liberation Sans" w:hAnsi="Liberation Sans" w:eastAsia="Liberation Sans"/>
          <w:b/>
          <w:i w:val="0"/>
          <w:color w:val="0B1F33"/>
          <w:sz w:val="26"/>
        </w:rPr>
        <w:t>ELEIÇÕES PRESIDENCIAIS DAS IAs — BRASIL 2026</w:t>
      </w:r>
    </w:p>
    <w:p>
      <w:pPr>
        <w:spacing w:before="200"/>
      </w:pPr>
      <w:r>
        <w:rPr>
          <w:rFonts w:ascii="Liberation Sans" w:hAnsi="Liberation Sans" w:eastAsia="Liberation Sans"/>
          <w:b/>
          <w:i w:val="0"/>
          <w:color w:val="C4622D"/>
          <w:sz w:val="20"/>
        </w:rPr>
        <w:t>VOLUME 05</w:t>
      </w:r>
    </w:p>
    <w:p>
      <w:pPr>
        <w:spacing w:before="80" w:after="120"/>
      </w:pPr>
      <w:r>
        <w:rPr>
          <w:rFonts w:ascii="Liberation Sans" w:hAnsi="Liberation Sans" w:eastAsia="Liberation Sans"/>
          <w:b/>
          <w:i w:val="0"/>
          <w:color w:val="0B1F33"/>
          <w:sz w:val="44"/>
        </w:rPr>
        <w:t>Plano de Governo 2027–2030 — Elias Monteiro Viana</w:t>
      </w:r>
    </w:p>
    <w:p>
      <w:r>
        <w:rPr>
          <w:rFonts w:ascii="Liberation Serif" w:hAnsi="Liberation Serif" w:eastAsia="Liberation Serif"/>
          <w:b w:val="0"/>
          <w:i/>
          <w:color w:val="1C242C"/>
          <w:sz w:val="24"/>
        </w:rPr>
        <w:t>Eixos 1 a 10. Economia, fisco, trabalho, saúde, educação, segurança, justiça, defesa, infraestrutura e energia.</w:t>
      </w:r>
    </w:p>
    <w:p>
      <w:pPr>
        <w:spacing w:after="20" w:before="0"/>
      </w:pPr>
      <w:r>
        <w:rPr>
          <w:rFonts w:ascii="Liberation Sans" w:hAnsi="Liberation Sans" w:eastAsia="Liberation Sans"/>
          <w:b w:val="0"/>
          <w:i w:val="0"/>
          <w:color w:val="0B1F33"/>
          <w:sz w:val="22"/>
        </w:rPr>
        <w:t>Candidato fictício: Elias Monteiro Viana</w:t>
      </w:r>
    </w:p>
    <w:p>
      <w:pPr>
        <w:spacing w:after="20" w:before="0"/>
      </w:pPr>
      <w:r>
        <w:rPr>
          <w:rFonts w:ascii="Liberation Sans" w:hAnsi="Liberation Sans" w:eastAsia="Liberation Sans"/>
          <w:b w:val="0"/>
          <w:i w:val="0"/>
          <w:color w:val="0B1F33"/>
          <w:sz w:val="22"/>
        </w:rPr>
        <w:t>Vice fictícia: Lúcia Fernanda Okamoto</w:t>
      </w:r>
    </w:p>
    <w:p>
      <w:pPr>
        <w:spacing w:after="20" w:before="0"/>
      </w:pPr>
      <w:r>
        <w:rPr>
          <w:rFonts w:ascii="Liberation Sans" w:hAnsi="Liberation Sans" w:eastAsia="Liberation Sans"/>
          <w:b w:val="0"/>
          <w:i w:val="0"/>
          <w:color w:val="0B1F33"/>
          <w:sz w:val="22"/>
        </w:rPr>
        <w:t>Partido fictício: Aliança do Trabalho e da Regra — ATR</w:t>
      </w:r>
    </w:p>
    <w:p>
      <w:pPr>
        <w:spacing w:after="20" w:before="0"/>
      </w:pPr>
      <w:r>
        <w:rPr>
          <w:rFonts w:ascii="Liberation Sans" w:hAnsi="Liberation Sans" w:eastAsia="Liberation Sans"/>
          <w:b w:val="0"/>
          <w:i w:val="0"/>
          <w:color w:val="0B1F33"/>
          <w:sz w:val="22"/>
        </w:rPr>
        <w:t>Ideologia: desenvolvimentismo de regras</w:t>
      </w:r>
    </w:p>
    <w:p>
      <w:pPr>
        <w:spacing w:after="20" w:before="0"/>
      </w:pPr>
      <w:r>
        <w:rPr>
          <w:rFonts w:ascii="Liberation Sans" w:hAnsi="Liberation Sans" w:eastAsia="Liberation Sans"/>
          <w:b w:val="0"/>
          <w:i w:val="0"/>
          <w:color w:val="0B1F33"/>
          <w:sz w:val="22"/>
        </w:rPr>
        <w:t>Cargo simulado: Presidente da República</w:t>
      </w:r>
    </w:p>
    <w:p>
      <w:pPr>
        <w:spacing w:after="20" w:before="0"/>
      </w:pPr>
      <w:r>
        <w:rPr>
          <w:rFonts w:ascii="Liberation Sans" w:hAnsi="Liberation Sans" w:eastAsia="Liberation Sans"/>
          <w:b w:val="0"/>
          <w:i w:val="0"/>
          <w:color w:val="0B1F33"/>
          <w:sz w:val="22"/>
        </w:rPr>
        <w:t>Mandato hipotético: 1º de janeiro de 2027 a 31 de dezembro de 2030</w:t>
      </w:r>
    </w:p>
    <w:p>
      <w:pPr>
        <w:spacing w:after="20" w:before="0"/>
      </w:pPr>
      <w:r>
        <w:rPr>
          <w:rFonts w:ascii="Liberation Sans" w:hAnsi="Liberation Sans" w:eastAsia="Liberation Sans"/>
          <w:b w:val="0"/>
          <w:i w:val="0"/>
          <w:color w:val="0B1F33"/>
          <w:sz w:val="22"/>
        </w:rPr>
        <w:t>Data-base do diagnóstico: 20 de outubro de 2026</w:t>
      </w:r>
    </w:p>
    <w:p>
      <w:pPr>
        <w:spacing w:after="20" w:before="0"/>
      </w:pPr>
      <w:r>
        <w:rPr>
          <w:rFonts w:ascii="Liberation Sans" w:hAnsi="Liberation Sans" w:eastAsia="Liberation Sans"/>
          <w:b w:val="0"/>
          <w:i w:val="0"/>
          <w:color w:val="0B1F33"/>
          <w:sz w:val="22"/>
        </w:rPr>
        <w:t>Slogan: O Brasil no trilho.</w:t>
      </w:r>
    </w:p>
    <w:tbl>
      <w:tblPr>
        <w:tblW w:type="auto" w:w="0"/>
        <w:tblLayout w:type="autofit"/>
        <w:tblLook w:firstColumn="1" w:firstRow="1" w:lastColumn="0" w:lastRow="0" w:noHBand="0" w:noVBand="1" w:val="04A0"/>
      </w:tblPr>
      <w:tblGrid>
        <w:gridCol w:w="9866"/>
      </w:tblGrid>
      <w:tr>
        <w:tc>
          <w:tcPr>
            <w:tcW w:type="dxa" w:w="9866"/>
            <w:shd w:fill="F3EBDD" w:val="clear"/>
          </w:tcPr>
          <w:p>
            <w:pPr>
              <w:spacing w:after="40"/>
            </w:pPr>
            <w:r/>
            <w:r>
              <w:rPr>
                <w:rFonts w:ascii="Liberation Sans" w:hAnsi="Liberation Sans" w:eastAsia="Liberation Sans"/>
                <w:b w:val="0"/>
                <w:i w:val="0"/>
                <w:color w:val="0B1F33"/>
                <w:sz w:val="18"/>
              </w:rPr>
              <w:t>Documento fictício da simulação Eleições Presidenciais das Inteligências Artificiais — Brasil 2026. Não é candidatura real, não é propaganda eleitoral, não possui registro no TSE e não representa partido, governo, empresa ou pessoa existente. Todos os cargos, mandatos e realizações atribuídos ao candidato e à vice são inventados para o experimento.</w:t>
            </w:r>
          </w:p>
        </w:tc>
      </w:tr>
    </w:tbl>
    <w:p>
      <w:pPr>
        <w:spacing w:after="80"/>
      </w:pPr>
    </w:p>
    <w:p>
      <w:r>
        <w:br w:type="page"/>
      </w:r>
    </w:p>
    <w:p>
      <w:pPr>
        <w:pStyle w:val="Heading1"/>
      </w:pPr>
      <w:r>
        <w:t>Como ler os eixos</w:t>
      </w:r>
    </w:p>
    <w:p>
      <w:pPr>
        <w:spacing w:after="160" w:line="269" w:lineRule="auto"/>
      </w:pPr>
      <w:r>
        <w:rPr>
          <w:rFonts w:ascii="Liberation Serif" w:hAnsi="Liberation Serif" w:eastAsia="Liberation Serif"/>
          <w:b w:val="0"/>
          <w:i w:val="0"/>
          <w:color w:val="1C242C"/>
          <w:sz w:val="22"/>
        </w:rPr>
        <w:t>Cada eixo separa diagnóstico, objetivo, propostas, instrumento, prazo, custo, fonte, indicador, risco e competência. Custo em «ordem de grandeza» usa a referência de que 0,1% do PIB, sobre uma base nominal próxima de R$ 13 a 14 trilhões em 2026–2027, fica na casa de R$ 13 a 14 bilhões. Isso não é dotação orçamentária e não autoriza tratar o número como empenho. Onde o programa depende de lei, está escrito. Onde depende de governador, está escrito. Promessa que o presidente não pode cumprir sozinho não é prometida como ato de posse.</w:t>
      </w:r>
    </w:p>
    <w:p>
      <w:pPr>
        <w:spacing w:after="160" w:line="269" w:lineRule="auto"/>
      </w:pPr>
      <w:r>
        <w:rPr>
          <w:rFonts w:ascii="Liberation Serif" w:hAnsi="Liberation Serif" w:eastAsia="Liberation Serif"/>
          <w:b w:val="0"/>
          <w:i w:val="0"/>
          <w:color w:val="1C242C"/>
          <w:sz w:val="22"/>
        </w:rPr>
        <w:t>Regra de compatibilização, válida para todos os eixos que criam despesa discricionária nova: a escala cheia só é executada se a lei de revisão de renúncias tributárias for aprovada. Sem ela, ficam os pilotos e o que couber no piso constitucional já existente. Essa trava é o oposto de um anexo de boas intenções.</w:t>
      </w:r>
    </w:p>
    <w:p>
      <w:pPr>
        <w:pStyle w:val="Heading1"/>
      </w:pPr>
      <w:r>
        <w:t>Eixo 1 — Economia e desenvolvimento</w:t>
      </w:r>
    </w:p>
    <w:p>
      <w:pPr>
        <w:pStyle w:val="Heading2"/>
      </w:pPr>
      <w:r>
        <w:t>1. Diagnóstico</w:t>
      </w:r>
    </w:p>
    <w:p>
      <w:pPr>
        <w:spacing w:after="160" w:line="269" w:lineRule="auto"/>
      </w:pPr>
      <w:r>
        <w:rPr>
          <w:rFonts w:ascii="Liberation Serif" w:hAnsi="Liberation Serif" w:eastAsia="Liberation Serif"/>
          <w:b w:val="0"/>
          <w:i w:val="0"/>
          <w:color w:val="1C242C"/>
          <w:sz w:val="22"/>
        </w:rPr>
        <w:t>O PIB per capita de 2025 foi de R$ 59.687, com crescimento de 2,3% no ano e investimento de apenas 16,8% do PIB. Em 2026 a atividade desacelerou: o intervalo de projeções na data-base ia de cerca de 1,8% (Focus) a 2,2% (FMI). A Selic estava em 13,75%, o IPCA esperado para 2026 estava acima do teto da meta, e o resultado nominal projetado pelo mercado rondava 9% do PIB por causa do juro. A agropecuária carregou 2025; a indústria cresceu 1,4%. O país não está em colapso de demanda. Está em escassez de produtividade, de investimento e de previsibilidade. Tratar isso com gasto corrente novo seria repetir o mecanismo que mantém o juro alto.</w:t>
      </w:r>
    </w:p>
    <w:p>
      <w:pPr>
        <w:pStyle w:val="Heading2"/>
      </w:pPr>
      <w:r>
        <w:t>2. Objetivo político</w:t>
      </w:r>
    </w:p>
    <w:p>
      <w:pPr>
        <w:spacing w:after="160" w:line="269" w:lineRule="auto"/>
      </w:pPr>
      <w:r>
        <w:rPr>
          <w:rFonts w:ascii="Liberation Serif" w:hAnsi="Liberation Serif" w:eastAsia="Liberation Serif"/>
          <w:b w:val="0"/>
          <w:i w:val="0"/>
          <w:color w:val="1C242C"/>
          <w:sz w:val="22"/>
        </w:rPr>
        <w:t>Crescer de modo sustentável perto do potencial, e elevar esse potencial, sem choque inflacionário e sem truque fiscal. A meta de mandato não é um número de PIB. É um conjunto: inflação de volta ao intervalo da meta até 2028, taxa de investimento em trajetória para 19% do PIB em 2030 como ambição e não como cláusula pétrea, e nenhuma recessão provocada por experimento do próprio governo. Crescimento de 2,5% ao ano no fim do período é sucesso; 4% prometido de saída seria propaganda.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1.1. </w:t>
      </w:r>
      <w:r>
        <w:rPr>
          <w:rFonts w:ascii="Liberation Serif" w:hAnsi="Liberation Serif" w:eastAsia="Liberation Serif"/>
          <w:b w:val="0"/>
          <w:i w:val="0"/>
          <w:color w:val="1C242C"/>
          <w:sz w:val="22"/>
        </w:rPr>
        <w:t>Respeito público e repetido à autonomia do Banco Central. O presidente não comentará a Selic da semana, não indicará maioria capturada e não usará banco público para compensar juro com crédito subsidiado escondido. A política anti-inflacionária do governo é fiscal, não telefônica.</w:t>
      </w:r>
    </w:p>
    <w:p>
      <w:pPr>
        <w:spacing w:after="160" w:line="269" w:lineRule="auto"/>
      </w:pPr>
      <w:r>
        <w:rPr>
          <w:rFonts w:ascii="Liberation Serif" w:hAnsi="Liberation Serif" w:eastAsia="Liberation Serif"/>
          <w:b/>
          <w:i w:val="0"/>
          <w:color w:val="1C242C"/>
          <w:sz w:val="22"/>
        </w:rPr>
        <w:t xml:space="preserve">Proposta 1.2. </w:t>
      </w:r>
      <w:r>
        <w:rPr>
          <w:rFonts w:ascii="Liberation Serif" w:hAnsi="Liberation Serif" w:eastAsia="Liberation Serif"/>
          <w:b w:val="0"/>
          <w:i w:val="0"/>
          <w:color w:val="1C242C"/>
          <w:sz w:val="22"/>
        </w:rPr>
        <w:t>Lei do Investimento de Corredor: cinco conjuntos logísticos com orçamento plurianual, responsável nominal e cláusula de morte se o estudo de viabilidade, refeito, for negativo. Obra sem essa ficha não entra em discurso presidencial.</w:t>
      </w:r>
    </w:p>
    <w:p>
      <w:pPr>
        <w:spacing w:after="160" w:line="269" w:lineRule="auto"/>
      </w:pPr>
      <w:r>
        <w:rPr>
          <w:rFonts w:ascii="Liberation Serif" w:hAnsi="Liberation Serif" w:eastAsia="Liberation Serif"/>
          <w:b/>
          <w:i w:val="0"/>
          <w:color w:val="1C242C"/>
          <w:sz w:val="22"/>
        </w:rPr>
        <w:t xml:space="preserve">Proposta 1.3. </w:t>
      </w:r>
      <w:r>
        <w:rPr>
          <w:rFonts w:ascii="Liberation Serif" w:hAnsi="Liberation Serif" w:eastAsia="Liberation Serif"/>
          <w:b w:val="0"/>
          <w:i w:val="0"/>
          <w:color w:val="1C242C"/>
          <w:sz w:val="22"/>
        </w:rPr>
        <w:t>Licenciamento federal com prazo fatal para atividade de baixo risco ambiental e silêncio positivo só nesse grupo. Alto impacto — mineração grande, óleo em área sensível, hidrelétrica nova — não tem silêncio positivo. Tem prazo de análise e veto técnico publicado, que o Planalto não derruba por telefone.</w:t>
      </w:r>
    </w:p>
    <w:p>
      <w:pPr>
        <w:spacing w:after="160" w:line="269" w:lineRule="auto"/>
      </w:pPr>
      <w:r>
        <w:rPr>
          <w:rFonts w:ascii="Liberation Serif" w:hAnsi="Liberation Serif" w:eastAsia="Liberation Serif"/>
          <w:b/>
          <w:i w:val="0"/>
          <w:color w:val="1C242C"/>
          <w:sz w:val="22"/>
        </w:rPr>
        <w:t xml:space="preserve">Proposta 1.4. </w:t>
      </w:r>
      <w:r>
        <w:rPr>
          <w:rFonts w:ascii="Liberation Serif" w:hAnsi="Liberation Serif" w:eastAsia="Liberation Serif"/>
          <w:b w:val="0"/>
          <w:i w:val="0"/>
          <w:color w:val="1C242C"/>
          <w:sz w:val="22"/>
        </w:rPr>
        <w:t>Conselho de Produtividade, ligado à Casa Civil e ao Ministério da Fazenda, que todo mês de março publica a lista dos dez gargalos medidos (porto, alfândega, contencioso tributário, qualificação, energia de transmissão) e o que foi removido no ano anterior. Sem meta secreta e sem câmara setorial de amigo.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Autonomia do BC já é lei: o instrumento é não a violar. Corredores e licenciamento pedem lei ordinária e decretos regulamentares. O conselho cabe em decreto, com dever de publicar. Nada disso é emenda constitucional.</w:t>
      </w:r>
    </w:p>
    <w:p>
      <w:pPr>
        <w:pStyle w:val="Heading2"/>
      </w:pPr>
      <w:r>
        <w:t>5. Prazo</w:t>
      </w:r>
    </w:p>
    <w:p>
      <w:pPr>
        <w:spacing w:after="160" w:line="269" w:lineRule="auto"/>
      </w:pPr>
      <w:r>
        <w:rPr>
          <w:rFonts w:ascii="Liberation Serif" w:hAnsi="Liberation Serif" w:eastAsia="Liberation Serif"/>
          <w:b w:val="0"/>
          <w:i w:val="0"/>
          <w:color w:val="1C242C"/>
          <w:sz w:val="22"/>
        </w:rPr>
        <w:t>Decreto do conselho e portaria de prazos de licenciamento de baixo risco nos primeiros 100 dias. Projeto dos corredores enviado ao Congresso até o sexto mês. Primeira lista pública de gargalos em março de 2028, com linha de base ainda em 2027.</w:t>
      </w:r>
    </w:p>
    <w:p>
      <w:pPr>
        <w:pStyle w:val="Heading2"/>
      </w:pPr>
      <w:r>
        <w:t>6. Custo ou impacto fiscal</w:t>
      </w:r>
    </w:p>
    <w:p>
      <w:pPr>
        <w:spacing w:after="160" w:line="269" w:lineRule="auto"/>
      </w:pPr>
      <w:r>
        <w:rPr>
          <w:rFonts w:ascii="Liberation Serif" w:hAnsi="Liberation Serif" w:eastAsia="Liberation Serif"/>
          <w:b w:val="0"/>
          <w:i w:val="0"/>
          <w:color w:val="1C242C"/>
          <w:sz w:val="22"/>
        </w:rPr>
        <w:t>O conselho é despesa administrativa irrelevante. O licenciamento com prazo custa capacidade de análise no Ibama e em órgãos federais: ordem de 0,01% do PIB se for feito com gente, não com slogan. Os corredores custam sobretudo capital privado de concessão; o aporte público, quando houver, entra no eixo de infraestrutura e só depois da trava fiscal.</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ordinário para a máquina de licenciamento. Concessão, debênture de infraestrutura já existente e, no caso de trecho que não se paga, verba do investimento federal condicionada à lei de renúncias. Sem essa lei, o corredor que depender de Tesouro espera.</w:t>
      </w:r>
    </w:p>
    <w:p>
      <w:pPr>
        <w:pStyle w:val="Heading2"/>
      </w:pPr>
      <w:r>
        <w:t>8. Indicador de sucesso</w:t>
      </w:r>
    </w:p>
    <w:p>
      <w:pPr>
        <w:spacing w:after="160" w:line="269" w:lineRule="auto"/>
      </w:pPr>
      <w:r>
        <w:rPr>
          <w:rFonts w:ascii="Liberation Serif" w:hAnsi="Liberation Serif" w:eastAsia="Liberation Serif"/>
          <w:b w:val="0"/>
          <w:i w:val="0"/>
          <w:color w:val="1C242C"/>
          <w:sz w:val="22"/>
        </w:rPr>
        <w:t>IPCA anual dentro da banda em 2028 e mais perto do centro em 2029–2030 do que a mediana do Focus de outubro de 2026 sugeria para o horizonte. Taxa de investimento do IBGE. Tempo mediano de licença federal de baixo risco. Número de corredores com contrato assinado ou com arquivamento justificado — os dois contam, a eternidade não.</w:t>
      </w:r>
    </w:p>
    <w:p>
      <w:pPr>
        <w:pStyle w:val="Heading2"/>
      </w:pPr>
      <w:r>
        <w:t>9. Riscos e dificuldades</w:t>
      </w:r>
    </w:p>
    <w:p>
      <w:pPr>
        <w:spacing w:after="160" w:line="269" w:lineRule="auto"/>
      </w:pPr>
      <w:r>
        <w:rPr>
          <w:rFonts w:ascii="Liberation Serif" w:hAnsi="Liberation Serif" w:eastAsia="Liberation Serif"/>
          <w:b w:val="0"/>
          <w:i w:val="0"/>
          <w:color w:val="1C242C"/>
          <w:sz w:val="22"/>
        </w:rPr>
        <w:t>Choque externo de energia ou de tarifa pode recolocar a inflação acima do teto sem culpa da âncora fiscal. Congresso pode aprovar despesa permanente no lugar dos corredores. Silêncio positivo mal desenhado pode virar licença para dano: por isso fica restrito ao baixo risco e pode ser revogado por decreto se a auditoria do primeiro ano mostrar abuso.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O presidente indica diretores do BC nos termos da lei e não manda na taxa. Não decreta crescimento. Obra em estado depende de governador. Meta de inflação continua com o CMN, não com comício.</w:t>
      </w:r>
    </w:p>
    <w:p>
      <w:pPr>
        <w:pStyle w:val="Heading1"/>
      </w:pPr>
      <w:r>
        <w:t>Eixo 2 — Tributação e orçamento</w:t>
      </w:r>
    </w:p>
    <w:p>
      <w:pPr>
        <w:pStyle w:val="Heading2"/>
      </w:pPr>
      <w:r>
        <w:t>1. Diagnóstico</w:t>
      </w:r>
    </w:p>
    <w:p>
      <w:pPr>
        <w:spacing w:after="160" w:line="269" w:lineRule="auto"/>
      </w:pPr>
      <w:r>
        <w:rPr>
          <w:rFonts w:ascii="Liberation Serif" w:hAnsi="Liberation Serif" w:eastAsia="Liberation Serif"/>
          <w:b w:val="0"/>
          <w:i w:val="0"/>
          <w:color w:val="1C242C"/>
          <w:sz w:val="22"/>
        </w:rPr>
        <w:t>A carga de 2025 foi 32,40% do PIB, com peso grande em bens e serviços. A dívida bruta já estava perto de 83% do PIB em agosto de 2026 e o mercado a via em 87% em 2027. O primário melhorou no acumulado até setembro de 2026 e ainda assim o Prisma apontava déficit do governo central. A reforma do consumo está em implantação operacional, não em debate de guardanapo. O estoque de renúncias segue politicamente intocado na prática, embora grande o bastante — historicamente, vários pontos do PIB — para financiar a diferença entre o discurso e a meta. O programa não cita um total oficial de 2026 de gastos tributários porque não reprocessou o demonstrativo linha a linha; cita a ordem de grandeza conhecida e a obrigação de publicar a lista no primeiro bimestre.</w:t>
      </w:r>
    </w:p>
    <w:p>
      <w:pPr>
        <w:pStyle w:val="Heading2"/>
      </w:pPr>
      <w:r>
        <w:t>2. Objetivo político</w:t>
      </w:r>
    </w:p>
    <w:p>
      <w:pPr>
        <w:spacing w:after="160" w:line="269" w:lineRule="auto"/>
      </w:pPr>
      <w:r>
        <w:rPr>
          <w:rFonts w:ascii="Liberation Serif" w:hAnsi="Liberation Serif" w:eastAsia="Liberation Serif"/>
          <w:b w:val="0"/>
          <w:i w:val="0"/>
          <w:color w:val="1C242C"/>
          <w:sz w:val="22"/>
        </w:rPr>
        <w:t>Não aumentar a carga além de 32,5% do PIB como teto operacional do mandato. Entregar superávit primário do governo central de 0,5% do PIB em 2030, passando por algo não pior do que −0,25% em 2027 e zero em 2028, em cenário central. Completar IBS e CBS sem reabrir a emenda. Cortar o equivalente a 0,4 ponto do PIB em renúncias que não passem em avaliação, e usar parte disso para reduzir a contribuição patronal sobre a folha na base da remuneração, não para distribuir alívio a quem já tem benefício.</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2.1. </w:t>
      </w:r>
      <w:r>
        <w:rPr>
          <w:rFonts w:ascii="Liberation Serif" w:hAnsi="Liberation Serif" w:eastAsia="Liberation Serif"/>
          <w:b w:val="0"/>
          <w:i w:val="0"/>
          <w:color w:val="1C242C"/>
          <w:sz w:val="22"/>
        </w:rPr>
        <w:t>Lei de Revisão das Renúncias, com caducidade de quatro anos para benefício tributário federal novo e revalidação do estoque por critério publicado: quem não mostrar emprego, investimento ou pesquisa verificável perde o favor. Meta quantitativa: 0,4% do PIB até 2030, não a extinção de todo incentivo.</w:t>
      </w:r>
    </w:p>
    <w:p>
      <w:pPr>
        <w:spacing w:after="160" w:line="269" w:lineRule="auto"/>
      </w:pPr>
      <w:r>
        <w:rPr>
          <w:rFonts w:ascii="Liberation Serif" w:hAnsi="Liberation Serif" w:eastAsia="Liberation Serif"/>
          <w:b/>
          <w:i w:val="0"/>
          <w:color w:val="1C242C"/>
          <w:sz w:val="22"/>
        </w:rPr>
        <w:t xml:space="preserve">Proposta 2.2. </w:t>
      </w:r>
      <w:r>
        <w:rPr>
          <w:rFonts w:ascii="Liberation Serif" w:hAnsi="Liberation Serif" w:eastAsia="Liberation Serif"/>
          <w:b w:val="0"/>
          <w:i w:val="0"/>
          <w:color w:val="1C242C"/>
          <w:sz w:val="22"/>
        </w:rPr>
        <w:t>Redução gradual de 2 pontos percentuais da contribuição patronal incidente sobre a faixa salarial até o teto do INSS, em quatro anos, só na parcela da folha, compensada peso a peso pela lei de renúncias. Sem compensação aprovada, a redução não começa.</w:t>
      </w:r>
    </w:p>
    <w:p>
      <w:pPr>
        <w:spacing w:after="160" w:line="269" w:lineRule="auto"/>
      </w:pPr>
      <w:r>
        <w:rPr>
          <w:rFonts w:ascii="Liberation Serif" w:hAnsi="Liberation Serif" w:eastAsia="Liberation Serif"/>
          <w:b/>
          <w:i w:val="0"/>
          <w:color w:val="1C242C"/>
          <w:sz w:val="22"/>
        </w:rPr>
        <w:t xml:space="preserve">Proposta 2.3. </w:t>
      </w:r>
      <w:r>
        <w:rPr>
          <w:rFonts w:ascii="Liberation Serif" w:hAnsi="Liberation Serif" w:eastAsia="Liberation Serif"/>
          <w:b w:val="0"/>
          <w:i w:val="0"/>
          <w:color w:val="1C242C"/>
          <w:sz w:val="22"/>
        </w:rPr>
        <w:t>Imposto sobre grandes fortunas fica fora do programa. No lugar, o governo fecha brecha de alta renda: se, em 1º de janeiro de 2027, lucros e dividendos ainda estiverem isentos, envia projeto de alíquota de 15% com faixa de isenção anual familiar modesta e mecanismo contra bitributar o mesmo lucro já taxado na pessoa jurídica. Se a tributação de dividendos já estiver em vigor nessa data, não a eleva no primeiro biênio; audita o que passou e só então discute ajuste.</w:t>
      </w:r>
    </w:p>
    <w:p>
      <w:pPr>
        <w:spacing w:after="160" w:line="269" w:lineRule="auto"/>
      </w:pPr>
      <w:r>
        <w:rPr>
          <w:rFonts w:ascii="Liberation Serif" w:hAnsi="Liberation Serif" w:eastAsia="Liberation Serif"/>
          <w:b/>
          <w:i w:val="0"/>
          <w:color w:val="1C242C"/>
          <w:sz w:val="22"/>
        </w:rPr>
        <w:t xml:space="preserve">Proposta 2.4. </w:t>
      </w:r>
      <w:r>
        <w:rPr>
          <w:rFonts w:ascii="Liberation Serif" w:hAnsi="Liberation Serif" w:eastAsia="Liberation Serif"/>
          <w:b w:val="0"/>
          <w:i w:val="0"/>
          <w:color w:val="1C242C"/>
          <w:sz w:val="22"/>
        </w:rPr>
        <w:t>Alongamento da dívida pública quando o prêmio cair, com menos peso de título pós-fixado. Isso é gestão do Tesouro, não palanque, e não será forçada se o mercado cobrar mais caro pelo prazo.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Lei complementar ou ordinária conforme a espécie do tributo. A transição do IBS/CBS já tem base constitucional: o trabalho é regulamentar e de sistemas, com a Receita e o Comitê Gestor. A trava de carga de 32,5% é compromisso de governo e, se o Congresso aceitar, diretriz da lei de diretrizes orçamentárias. Não é emenda.</w:t>
      </w:r>
    </w:p>
    <w:p>
      <w:pPr>
        <w:pStyle w:val="Heading2"/>
      </w:pPr>
      <w:r>
        <w:t>5. Prazo</w:t>
      </w:r>
    </w:p>
    <w:p>
      <w:pPr>
        <w:spacing w:after="160" w:line="269" w:lineRule="auto"/>
      </w:pPr>
      <w:r>
        <w:rPr>
          <w:rFonts w:ascii="Liberation Serif" w:hAnsi="Liberation Serif" w:eastAsia="Liberation Serif"/>
          <w:b w:val="0"/>
          <w:i w:val="0"/>
          <w:color w:val="1C242C"/>
          <w:sz w:val="22"/>
        </w:rPr>
        <w:t>Lista completa de renúncias publicada em até 60 dias, com responsável por cada item. Projeto de revisão enviado até o nono mês de 2027. Primeiro ponto da folha só em 2028, se a receita de substituição estiver sancionada. Superávit de 0,5% do PIB é meta de 2030, não de 2027.</w:t>
      </w:r>
    </w:p>
    <w:p>
      <w:pPr>
        <w:pStyle w:val="Heading2"/>
      </w:pPr>
      <w:r>
        <w:t>6. Custo ou impacto fiscal</w:t>
      </w:r>
    </w:p>
    <w:p>
      <w:pPr>
        <w:spacing w:after="160" w:line="269" w:lineRule="auto"/>
      </w:pPr>
      <w:r>
        <w:rPr>
          <w:rFonts w:ascii="Liberation Serif" w:hAnsi="Liberation Serif" w:eastAsia="Liberation Serif"/>
          <w:b w:val="0"/>
          <w:i w:val="0"/>
          <w:color w:val="1C242C"/>
          <w:sz w:val="22"/>
        </w:rPr>
        <w:t>A redução de folha, na escala cheia, custa cerca de 0,20% do PIB por ano. A revisão de renúncias busca 0,40%. O líquido financia também os eixos sociais novos descritos nos volumes seguintes. Se o Congresso aprovar só metade da revisão, a folha cai 1 ponto, não 2, e os pacotes novos caem pela mesma régua.</w:t>
      </w:r>
    </w:p>
    <w:p>
      <w:pPr>
        <w:pStyle w:val="Heading2"/>
      </w:pPr>
      <w:r>
        <w:t>7. Fonte de financiamento</w:t>
      </w:r>
    </w:p>
    <w:p>
      <w:pPr>
        <w:spacing w:after="160" w:line="269" w:lineRule="auto"/>
      </w:pPr>
      <w:r>
        <w:rPr>
          <w:rFonts w:ascii="Liberation Serif" w:hAnsi="Liberation Serif" w:eastAsia="Liberation Serif"/>
          <w:b w:val="0"/>
          <w:i w:val="0"/>
          <w:color w:val="1C242C"/>
          <w:sz w:val="22"/>
        </w:rPr>
        <w:t>Substituição interna da carga, não aumento. Dividendos, se ainda isentos, são fonte complementar e incerta: o orçamento não conta com ela para fechar a meta. Conta com renúncia retirada e com despesa discricionária não prioritária congelada em termos reais.</w:t>
      </w:r>
    </w:p>
    <w:p>
      <w:pPr>
        <w:pStyle w:val="Heading2"/>
      </w:pPr>
      <w:r>
        <w:t>8. Indicador de sucesso</w:t>
      </w:r>
    </w:p>
    <w:p>
      <w:pPr>
        <w:spacing w:after="160" w:line="269" w:lineRule="auto"/>
      </w:pPr>
      <w:r>
        <w:rPr>
          <w:rFonts w:ascii="Liberation Serif" w:hAnsi="Liberation Serif" w:eastAsia="Liberation Serif"/>
          <w:b w:val="0"/>
          <w:i w:val="0"/>
          <w:color w:val="1C242C"/>
          <w:sz w:val="22"/>
        </w:rPr>
        <w:t>Resultado primário do governo central, abaixo da linha do Banco Central, sem o artifício de tirar despesa da meta para comemorar. Carga tributária bruta do Tesouro. Participação da folha no custo do emprego formal, acompanhada com o Ministério do Trabalho. Estoque de renúncias em percentual do PIB, série publicada todo ano.</w:t>
      </w:r>
    </w:p>
    <w:p>
      <w:pPr>
        <w:pStyle w:val="Heading2"/>
      </w:pPr>
      <w:r>
        <w:t>9. Riscos e dificuldades</w:t>
      </w:r>
    </w:p>
    <w:p>
      <w:pPr>
        <w:spacing w:after="160" w:line="269" w:lineRule="auto"/>
      </w:pPr>
      <w:r>
        <w:rPr>
          <w:rFonts w:ascii="Liberation Serif" w:hAnsi="Liberation Serif" w:eastAsia="Liberation Serif"/>
          <w:b w:val="0"/>
          <w:i w:val="0"/>
          <w:color w:val="1C242C"/>
          <w:sz w:val="22"/>
        </w:rPr>
        <w:t>O Congresso protege renúncia com nome e sobrenome. A probabilidade de obter os 0,4 ponto inteiros é moderada-baixa; por isso os gastos novos são contingentes. Há risco de a transição do IBS gerar contencioso e perda temporária de arrecadação de estados: o governo federal não responderá a isso com alíquota paralela surpresa, e sim com o seguro de transição já previsto na emenda, auditado.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Tributo federal depende de lei. IBS é compartilhado com estados e municípios: o presidente não o altera por decreto. Meta fiscal depende do Congresso na lei orçamentária. O que é ato próprio: não criar despesa por medida provisória sem fonte, vetar benefício sem avaliação e publicar a lista.</w:t>
      </w:r>
    </w:p>
    <w:p>
      <w:pPr>
        <w:pStyle w:val="Heading1"/>
      </w:pPr>
      <w:r>
        <w:t>Eixo 3 — Emprego, trabalho e renda</w:t>
      </w:r>
    </w:p>
    <w:p>
      <w:pPr>
        <w:pStyle w:val="Heading2"/>
      </w:pPr>
      <w:r>
        <w:t>1. Diagnóstico</w:t>
      </w:r>
    </w:p>
    <w:p>
      <w:pPr>
        <w:spacing w:after="160" w:line="269" w:lineRule="auto"/>
      </w:pPr>
      <w:r>
        <w:rPr>
          <w:rFonts w:ascii="Liberation Serif" w:hAnsi="Liberation Serif" w:eastAsia="Liberation Serif"/>
          <w:b w:val="0"/>
          <w:i w:val="0"/>
          <w:color w:val="1C242C"/>
          <w:sz w:val="22"/>
        </w:rPr>
        <w:t>Desocupação de 5,3% no trimestre até agosto de 2026 convive com 37,5% de informalidade no corte de novembro de 2025 a janeiro de 2026 — 38,5 milhões de pessoas. A carteira assinada privada, excluído o doméstico, estava em 39,4 milhões. O rendimento habitual bateu recorde e a desigualdade de 2025 voltou a abrir no topo. O desenho da proteção ainda trata como exceção quem trabalha por aplicativo, por conta própria ou sem CNPJ. A jornada semanal legal não é o gargalo estatístico principal; a porta de entrada na regra é.</w:t>
      </w:r>
    </w:p>
    <w:p>
      <w:pPr>
        <w:pStyle w:val="Heading2"/>
      </w:pPr>
      <w:r>
        <w:t>2. Objetivo político</w:t>
      </w:r>
    </w:p>
    <w:p>
      <w:pPr>
        <w:spacing w:after="160" w:line="269" w:lineRule="auto"/>
      </w:pPr>
      <w:r>
        <w:rPr>
          <w:rFonts w:ascii="Liberation Serif" w:hAnsi="Liberation Serif" w:eastAsia="Liberation Serif"/>
          <w:b w:val="0"/>
          <w:i w:val="0"/>
          <w:color w:val="1C242C"/>
          <w:sz w:val="22"/>
        </w:rPr>
        <w:t>Reduzir a informalidade para baixo de 34% até 2030, sem recessão que derrube o número à força, como ocorreu em alguns trimestres de 2020 por motivo ruim. Manter o salário mínimo com ganho real apenas quando a regra fiscal e a produtividade permitirem. Não legislar jornada nacional de quatro dias.</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3.1. </w:t>
      </w:r>
      <w:r>
        <w:rPr>
          <w:rFonts w:ascii="Liberation Serif" w:hAnsi="Liberation Serif" w:eastAsia="Liberation Serif"/>
          <w:b w:val="0"/>
          <w:i w:val="0"/>
          <w:color w:val="1C242C"/>
          <w:sz w:val="22"/>
        </w:rPr>
        <w:t>Estatuto do trabalhador de plataforma: contribuição previdenciária obrigatória sobre base reduzida, seguro de acidente, direito a recurso humano contra desligamento algorítmico e transparência do critério de bloqueio. Não há vínculo empregatício automático. Há proteção. A plataforma que não recolher perde o direito de operar no mercado formal de pagamentos.</w:t>
      </w:r>
    </w:p>
    <w:p>
      <w:pPr>
        <w:spacing w:after="160" w:line="269" w:lineRule="auto"/>
      </w:pPr>
      <w:r>
        <w:rPr>
          <w:rFonts w:ascii="Liberation Serif" w:hAnsi="Liberation Serif" w:eastAsia="Liberation Serif"/>
          <w:b/>
          <w:i w:val="0"/>
          <w:color w:val="1C242C"/>
          <w:sz w:val="22"/>
        </w:rPr>
        <w:t xml:space="preserve">Proposta 3.2. </w:t>
      </w:r>
      <w:r>
        <w:rPr>
          <w:rFonts w:ascii="Liberation Serif" w:hAnsi="Liberation Serif" w:eastAsia="Liberation Serif"/>
          <w:b w:val="0"/>
          <w:i w:val="0"/>
          <w:color w:val="1C242C"/>
          <w:sz w:val="22"/>
        </w:rPr>
        <w:t>Regra do salário mínimo: reajuste pela inflação mais a variação real do PIB per capita dos dois anos anteriores, com teto igual ao ganho de produtividade do trabalho formal medido pelo IBGE, e com suspensão do ganho real no ano em que a meta primária do ano anterior tiver sido descumprida. O piso constitucional de irreajustabilidade nominal pela inflação não é furado. O que se fura é a política de ganho real automático acima do que a economia e o orçamento aguentam.</w:t>
      </w:r>
    </w:p>
    <w:p>
      <w:pPr>
        <w:spacing w:after="160" w:line="269" w:lineRule="auto"/>
      </w:pPr>
      <w:r>
        <w:rPr>
          <w:rFonts w:ascii="Liberation Serif" w:hAnsi="Liberation Serif" w:eastAsia="Liberation Serif"/>
          <w:b/>
          <w:i w:val="0"/>
          <w:color w:val="1C242C"/>
          <w:sz w:val="22"/>
        </w:rPr>
        <w:t xml:space="preserve">Proposta 3.3. </w:t>
      </w:r>
      <w:r>
        <w:rPr>
          <w:rFonts w:ascii="Liberation Serif" w:hAnsi="Liberation Serif" w:eastAsia="Liberation Serif"/>
          <w:b w:val="0"/>
          <w:i w:val="0"/>
          <w:color w:val="1C242C"/>
          <w:sz w:val="22"/>
        </w:rPr>
        <w:t>Licença nacional única para microempreendimento de baixo risco, prazo de dez dias, integrada ao que a transição do Simples, do IBS e da CBS já estiver exigindo em 2027. Não se eleva o teto do Simples sem a compensação da lei de renúncias.</w:t>
      </w:r>
    </w:p>
    <w:p>
      <w:pPr>
        <w:spacing w:after="160" w:line="269" w:lineRule="auto"/>
      </w:pPr>
      <w:r>
        <w:rPr>
          <w:rFonts w:ascii="Liberation Serif" w:hAnsi="Liberation Serif" w:eastAsia="Liberation Serif"/>
          <w:b/>
          <w:i w:val="0"/>
          <w:color w:val="1C242C"/>
          <w:sz w:val="22"/>
        </w:rPr>
        <w:t xml:space="preserve">Proposta 3.4. </w:t>
      </w:r>
      <w:r>
        <w:rPr>
          <w:rFonts w:ascii="Liberation Serif" w:hAnsi="Liberation Serif" w:eastAsia="Liberation Serif"/>
          <w:b w:val="0"/>
          <w:i w:val="0"/>
          <w:color w:val="1C242C"/>
          <w:sz w:val="22"/>
        </w:rPr>
        <w:t>Negociação coletiva segue livre, sem volta da contribuição sindical obrigatória. O Ministério do Trabalho digitaliza o registro de acordo e publica, por setor, quantos acordos reduziram jornada com manutenção de salário — para que a redução exista onde a produtividade pagou, não onde a lei fingiu que pagou.</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O estatuto de plataforma é lei ordinária. A regra do mínimo pode caber em lei ordinária que discipline a política de valorização; se o desenho vigente na posse for constitucionalmente amarrado de outro modo, o governo envia a alteração e, até lá, executa o ganho real só na parcela que a meta fiscal comportar, dizendo o número em vez de escondê-lo. A licença de dez dias é lei e integração de sistemas.</w:t>
      </w:r>
    </w:p>
    <w:p>
      <w:pPr>
        <w:pStyle w:val="Heading2"/>
      </w:pPr>
      <w:r>
        <w:t>5. Prazo</w:t>
      </w:r>
    </w:p>
    <w:p>
      <w:pPr>
        <w:spacing w:after="160" w:line="269" w:lineRule="auto"/>
      </w:pPr>
      <w:r>
        <w:rPr>
          <w:rFonts w:ascii="Liberation Serif" w:hAnsi="Liberation Serif" w:eastAsia="Liberation Serif"/>
          <w:b w:val="0"/>
          <w:i w:val="0"/>
          <w:color w:val="1C242C"/>
          <w:sz w:val="22"/>
        </w:rPr>
        <w:t>Projeto de plataforma nos primeiros nove meses. Nova política de mínimo válida para o reajuste de 2028, não como surpresa em janeiro de 2027. Licença única pilotada em 2027 e nacional em 2028 se o piloto não aumentar fraude cadastral.</w:t>
      </w:r>
    </w:p>
    <w:p>
      <w:pPr>
        <w:pStyle w:val="Heading2"/>
      </w:pPr>
      <w:r>
        <w:t>6. Custo ou impacto fiscal</w:t>
      </w:r>
    </w:p>
    <w:p>
      <w:pPr>
        <w:spacing w:after="160" w:line="269" w:lineRule="auto"/>
      </w:pPr>
      <w:r>
        <w:rPr>
          <w:rFonts w:ascii="Liberation Serif" w:hAnsi="Liberation Serif" w:eastAsia="Liberation Serif"/>
          <w:b w:val="0"/>
          <w:i w:val="0"/>
          <w:color w:val="1C242C"/>
          <w:sz w:val="22"/>
        </w:rPr>
        <w:t>A contribuição de plataforma tende a aumentar receita previdenciária no médio prazo e a custar fiscalização. O ganho real mais contido do mínimo reduz pressão no INSS e no BPC relativamente a uma regra mais generosa — é economia contra um contrafactual, não corte nominal de benefício de quem já recebe. Não há promessa de abono novo.</w:t>
      </w:r>
    </w:p>
    <w:p>
      <w:pPr>
        <w:pStyle w:val="Heading2"/>
      </w:pPr>
      <w:r>
        <w:t>7. Fonte de financiamento</w:t>
      </w:r>
    </w:p>
    <w:p>
      <w:pPr>
        <w:spacing w:after="160" w:line="269" w:lineRule="auto"/>
      </w:pPr>
      <w:r>
        <w:rPr>
          <w:rFonts w:ascii="Liberation Serif" w:hAnsi="Liberation Serif" w:eastAsia="Liberation Serif"/>
          <w:b w:val="0"/>
          <w:i w:val="0"/>
          <w:color w:val="1C242C"/>
          <w:sz w:val="22"/>
        </w:rPr>
        <w:t>Dentro da folha e da contribuição. Sem fundo paralelo. A formalização é o financiamento.</w:t>
      </w:r>
    </w:p>
    <w:p>
      <w:pPr>
        <w:pStyle w:val="Heading2"/>
      </w:pPr>
      <w:r>
        <w:t>8. Indicador de sucesso</w:t>
      </w:r>
    </w:p>
    <w:p>
      <w:pPr>
        <w:spacing w:after="160" w:line="269" w:lineRule="auto"/>
      </w:pPr>
      <w:r>
        <w:rPr>
          <w:rFonts w:ascii="Liberation Serif" w:hAnsi="Liberation Serif" w:eastAsia="Liberation Serif"/>
          <w:b w:val="0"/>
          <w:i w:val="0"/>
          <w:color w:val="1C242C"/>
          <w:sz w:val="22"/>
        </w:rPr>
        <w:t>Taxa de informalidade da PNAD, meta abaixo de 34% em 2030, com o emprego total não caindo. Número de trabalhadores de plataforma contribuintes. Diferença entre o reajuste do mínimo e a inflação, publicada contra a regra, não contra o desejo do ano eleitoral.</w:t>
      </w:r>
    </w:p>
    <w:p>
      <w:pPr>
        <w:pStyle w:val="Heading2"/>
      </w:pPr>
      <w:r>
        <w:t>9. Riscos e dificuldades</w:t>
      </w:r>
    </w:p>
    <w:p>
      <w:pPr>
        <w:spacing w:after="160" w:line="269" w:lineRule="auto"/>
      </w:pPr>
      <w:r>
        <w:rPr>
          <w:rFonts w:ascii="Liberation Serif" w:hAnsi="Liberation Serif" w:eastAsia="Liberation Serif"/>
          <w:b w:val="0"/>
          <w:i w:val="0"/>
          <w:color w:val="1C242C"/>
          <w:sz w:val="22"/>
        </w:rPr>
        <w:t>Plataformas podem repassar custo ao trabalhador ou sair de nichos. O recurso contra algoritmo pode virar contencioso de massa se a lei for vaga: o projeto terá prazo de resposta e tipologia fechada de infração. Centrais sindicais chamarão a regra do mínimo de arrocho sempre que o ganho real for zero. O governo preferirá esse conflito a estourar o RGPS para aplauso de um maio.</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Direito do trabalho é federal. Salário de servidor estadual não é. Fiscalização do trabalho é da União; a formalização de fato depende de município na licença local, por isso a licença única precisa de adesão — quem não aderir não recebe prioridade de convênio federal de emprego.</w:t>
      </w:r>
    </w:p>
    <w:p>
      <w:pPr>
        <w:pStyle w:val="Heading1"/>
      </w:pPr>
      <w:r>
        <w:t>Eixo 4 — Saúde</w:t>
      </w:r>
    </w:p>
    <w:p>
      <w:pPr>
        <w:pStyle w:val="Heading2"/>
      </w:pPr>
      <w:r>
        <w:t>1. Diagnóstico</w:t>
      </w:r>
    </w:p>
    <w:p>
      <w:pPr>
        <w:spacing w:after="160" w:line="269" w:lineRule="auto"/>
      </w:pPr>
      <w:r>
        <w:rPr>
          <w:rFonts w:ascii="Liberation Serif" w:hAnsi="Liberation Serif" w:eastAsia="Liberation Serif"/>
          <w:b w:val="0"/>
          <w:i w:val="0"/>
          <w:color w:val="1C242C"/>
          <w:sz w:val="22"/>
        </w:rPr>
        <w:t>O SUS existe, gasta e entrega mais cirurgia eletiva do que em 2022, se confirmado o número de quase 15 milhões em 2025 dado pelo próprio Ministério da Saúde. A União cumpriu o mínimo constitucional em 2025, com R$ 234,5 bilhões. Ao mesmo tempo, a tabela de procedimentos envelheceu quase 30 anos, o painel nacional de filas ainda era promessa de fim de 2026 na entrevista de 16 de outubro, e a atenção básica segue desigual no Norte e na periferia. Saúde mental e vacinação não têm, neste plano, meta numérica inventada: têm obrigação de publicar cobertura e capacidade de CAPS por região no primeiro ano, porque a linha de base nacional confiável não foi reunida aqui.</w:t>
      </w:r>
    </w:p>
    <w:p>
      <w:pPr>
        <w:pStyle w:val="Heading2"/>
      </w:pPr>
      <w:r>
        <w:t>2. Objetivo político</w:t>
      </w:r>
    </w:p>
    <w:p>
      <w:pPr>
        <w:spacing w:after="160" w:line="269" w:lineRule="auto"/>
      </w:pPr>
      <w:r>
        <w:rPr>
          <w:rFonts w:ascii="Liberation Serif" w:hAnsi="Liberation Serif" w:eastAsia="Liberation Serif"/>
          <w:b w:val="0"/>
          <w:i w:val="0"/>
          <w:color w:val="1C242C"/>
          <w:sz w:val="22"/>
        </w:rPr>
        <w:t>Manter o SUS público e universal. Encurtar a espera de procedimento eletivo prioritário onde a fila for medida, não onde for anedota. Atualizar a tabela sem quebrar o teto fiscal. Tratar saúde mental como rede, não como internação de longa duração de volta.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4.1. </w:t>
      </w:r>
      <w:r>
        <w:rPr>
          <w:rFonts w:ascii="Liberation Serif" w:hAnsi="Liberation Serif" w:eastAsia="Liberation Serif"/>
          <w:b w:val="0"/>
          <w:i w:val="0"/>
          <w:color w:val="1C242C"/>
          <w:sz w:val="22"/>
        </w:rPr>
        <w:t>Nos primeiros 100 dias, o painel de filas — se o governo de então o tiver entregue — vira linha de base oficial, auditada pela CGU em amostra. Se não tiver sido entregue, o ministério publica em 120 dias a espera dos procedimentos de maior volume nos serviços federais e nos contratados com recurso federal, e condiciona repasse voluntário de 2028 à alimentação do painel pelos entes.</w:t>
      </w:r>
    </w:p>
    <w:p>
      <w:pPr>
        <w:spacing w:after="160" w:line="269" w:lineRule="auto"/>
      </w:pPr>
      <w:r>
        <w:rPr>
          <w:rFonts w:ascii="Liberation Serif" w:hAnsi="Liberation Serif" w:eastAsia="Liberation Serif"/>
          <w:b/>
          <w:i w:val="0"/>
          <w:color w:val="1C242C"/>
          <w:sz w:val="22"/>
        </w:rPr>
        <w:t xml:space="preserve">Proposta 4.2. </w:t>
      </w:r>
      <w:r>
        <w:rPr>
          <w:rFonts w:ascii="Liberation Serif" w:hAnsi="Liberation Serif" w:eastAsia="Liberation Serif"/>
          <w:b w:val="0"/>
          <w:i w:val="0"/>
          <w:color w:val="1C242C"/>
          <w:sz w:val="22"/>
        </w:rPr>
        <w:t>Mutirão comprado de capacidade privada e filantrópica, com teto de preço, auditoria prévia e lista nominal de paciente, apenas para a fila já medida. Não é abertura do SUS ao plano de saúde. É a União pagando cirurgia que o público local não zera, por contrato curto. Escala cheia só com a trava fiscal; piloto de qualquer modo em pelo menos uma região do Norte e uma capital do Nordeste.</w:t>
      </w:r>
    </w:p>
    <w:p>
      <w:pPr>
        <w:spacing w:after="160" w:line="269" w:lineRule="auto"/>
      </w:pPr>
      <w:r>
        <w:rPr>
          <w:rFonts w:ascii="Liberation Serif" w:hAnsi="Liberation Serif" w:eastAsia="Liberation Serif"/>
          <w:b/>
          <w:i w:val="0"/>
          <w:color w:val="1C242C"/>
          <w:sz w:val="22"/>
        </w:rPr>
        <w:t xml:space="preserve">Proposta 4.3. </w:t>
      </w:r>
      <w:r>
        <w:rPr>
          <w:rFonts w:ascii="Liberation Serif" w:hAnsi="Liberation Serif" w:eastAsia="Liberation Serif"/>
          <w:b w:val="0"/>
          <w:i w:val="0"/>
          <w:color w:val="1C242C"/>
          <w:sz w:val="22"/>
        </w:rPr>
        <w:t>Revisão da tabela SUS em 24 meses, por grupo de procedimentos, com impacto fiscal explicitado na lei orçamentária. O que não couber não é «reajustado politicamente»; fica para o ano seguinte, dito em público.</w:t>
      </w:r>
    </w:p>
    <w:p>
      <w:pPr>
        <w:spacing w:after="160" w:line="269" w:lineRule="auto"/>
      </w:pPr>
      <w:r>
        <w:rPr>
          <w:rFonts w:ascii="Liberation Serif" w:hAnsi="Liberation Serif" w:eastAsia="Liberation Serif"/>
          <w:b/>
          <w:i w:val="0"/>
          <w:color w:val="1C242C"/>
          <w:sz w:val="22"/>
        </w:rPr>
        <w:t xml:space="preserve">Proposta 4.4. </w:t>
      </w:r>
      <w:r>
        <w:rPr>
          <w:rFonts w:ascii="Liberation Serif" w:hAnsi="Liberation Serif" w:eastAsia="Liberation Serif"/>
          <w:b w:val="0"/>
          <w:i w:val="0"/>
          <w:color w:val="1C242C"/>
          <w:sz w:val="22"/>
        </w:rPr>
        <w:t>Vacinação: compra federal plurianual dos calendários já previstos, para acabar com a ruptura de estoque como modo de gestão. Saúde mental: cofinanciar CAPS e leito de curta permanência em crise nos municípios abaixo da cobertura mediana, e recusar a reabertura de hospital psiquiátrico asilar como política nacional.</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Repasse e contrato são atos do Executivo dentro da lei do SUS. Condicionar transferência voluntária exige lei ou convênio com cláusula clara, não retaliação informal. Mudança de tabela é portaria com lastro orçamentário. Nada aqui privatiza o sistema; nada aqui exige emenda.</w:t>
      </w:r>
    </w:p>
    <w:p>
      <w:pPr>
        <w:pStyle w:val="Heading2"/>
      </w:pPr>
      <w:r>
        <w:t>5. Prazo</w:t>
      </w:r>
    </w:p>
    <w:p>
      <w:pPr>
        <w:spacing w:after="160" w:line="269" w:lineRule="auto"/>
      </w:pPr>
      <w:r>
        <w:rPr>
          <w:rFonts w:ascii="Liberation Serif" w:hAnsi="Liberation Serif" w:eastAsia="Liberation Serif"/>
          <w:b w:val="0"/>
          <w:i w:val="0"/>
          <w:color w:val="1C242C"/>
          <w:sz w:val="22"/>
        </w:rPr>
        <w:t>Linha de base em 2027. Primeiros mutirões ainda em 2027, em piloto. Tabela refeita até o fim de 2028 nos grupos de maior fila. Cobertura vacinal de rotina publicada mês a mês a partir do segundo semestre de 2027.</w:t>
      </w:r>
    </w:p>
    <w:p>
      <w:pPr>
        <w:pStyle w:val="Heading2"/>
      </w:pPr>
      <w:r>
        <w:t>6. Custo ou impacto fiscal</w:t>
      </w:r>
    </w:p>
    <w:p>
      <w:pPr>
        <w:spacing w:after="160" w:line="269" w:lineRule="auto"/>
      </w:pPr>
      <w:r>
        <w:rPr>
          <w:rFonts w:ascii="Liberation Serif" w:hAnsi="Liberation Serif" w:eastAsia="Liberation Serif"/>
          <w:b w:val="0"/>
          <w:i w:val="0"/>
          <w:color w:val="1C242C"/>
          <w:sz w:val="22"/>
        </w:rPr>
        <w:t>Pilotos de mutirão e atualização parcial da tabela: começar em torno de 0,05% do PIB e só expandir até cerca de 0,10% se a lei de renúncias passar e se o painel mostrar queda real de espera, não apenas aumento de procedimento em quem já era atendido.</w:t>
      </w:r>
    </w:p>
    <w:p>
      <w:pPr>
        <w:pStyle w:val="Heading2"/>
      </w:pPr>
      <w:r>
        <w:t>7. Fonte de financiamento</w:t>
      </w:r>
    </w:p>
    <w:p>
      <w:pPr>
        <w:spacing w:after="160" w:line="269" w:lineRule="auto"/>
      </w:pPr>
      <w:r>
        <w:rPr>
          <w:rFonts w:ascii="Liberation Serif" w:hAnsi="Liberation Serif" w:eastAsia="Liberation Serif"/>
          <w:b w:val="0"/>
          <w:i w:val="0"/>
          <w:color w:val="1C242C"/>
          <w:sz w:val="22"/>
        </w:rPr>
        <w:t>Piso constitucional de saúde em primeiro lugar. A margem nova vem da trava fiscal, não de contribuição criada sobre o paciente. Operadora de plano não recebe o mutirão para sua própria carteira.</w:t>
      </w:r>
    </w:p>
    <w:p>
      <w:pPr>
        <w:pStyle w:val="Heading2"/>
      </w:pPr>
      <w:r>
        <w:t>8. Indicador de sucesso</w:t>
      </w:r>
    </w:p>
    <w:p>
      <w:pPr>
        <w:spacing w:after="160" w:line="269" w:lineRule="auto"/>
      </w:pPr>
      <w:r>
        <w:rPr>
          <w:rFonts w:ascii="Liberation Serif" w:hAnsi="Liberation Serif" w:eastAsia="Liberation Serif"/>
          <w:b w:val="0"/>
          <w:i w:val="0"/>
          <w:color w:val="1C242C"/>
          <w:sz w:val="22"/>
        </w:rPr>
        <w:t>Mediana de espera dos dez procedimentos definidos no painel de 2027, meta de queda de 20% até 2030 onde a série existir. Cobertura vacinal infantil das vacinas do calendário nacional de volta à meta do Programa Nacional de Imunizações nos estados que estiverem abaixo dela em 2027. Número de CAPS por 100 mil habitantes nos municípios do quartil inferior, sem meta nacional vazia.</w:t>
      </w:r>
    </w:p>
    <w:p>
      <w:pPr>
        <w:pStyle w:val="Heading2"/>
      </w:pPr>
      <w:r>
        <w:t>9. Riscos e dificuldades</w:t>
      </w:r>
    </w:p>
    <w:p>
      <w:pPr>
        <w:spacing w:after="160" w:line="269" w:lineRule="auto"/>
      </w:pPr>
      <w:r>
        <w:rPr>
          <w:rFonts w:ascii="Liberation Serif" w:hAnsi="Liberation Serif" w:eastAsia="Liberation Serif"/>
          <w:b w:val="0"/>
          <w:i w:val="0"/>
          <w:color w:val="1C242C"/>
          <w:sz w:val="22"/>
        </w:rPr>
        <w:t>Compra de mutirão pode vazar para duplicidade e para prestador sem qualidade. A lista nominal e a auditoria são a resposta, e serão caras. Estados podem boicotar o painel para não mostrar a fila. O repasse voluntário condicionado é o instrumento; o piso constitucional não será refém dessa briga.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Saúde é tripartite. O presidente não nomeia secretário municipal e não opera UBS. Opera política nacional, hospitais federais, compra estratégica e o dinheiro. A vice, Lúcia Okamoto, acompanha este eixo no palácio, sem acumulá-lo com o ministério: quem opera a pasta é ministro em dedicação exclusiva.</w:t>
      </w:r>
    </w:p>
    <w:p>
      <w:pPr>
        <w:pStyle w:val="Heading1"/>
      </w:pPr>
      <w:r>
        <w:t>Eixo 5 — Educação</w:t>
      </w:r>
    </w:p>
    <w:p>
      <w:pPr>
        <w:pStyle w:val="Heading2"/>
      </w:pPr>
      <w:r>
        <w:t>1. Diagnóstico</w:t>
      </w:r>
    </w:p>
    <w:p>
      <w:pPr>
        <w:spacing w:after="160" w:line="269" w:lineRule="auto"/>
      </w:pPr>
      <w:r>
        <w:rPr>
          <w:rFonts w:ascii="Liberation Serif" w:hAnsi="Liberation Serif" w:eastAsia="Liberation Serif"/>
          <w:b w:val="0"/>
          <w:i w:val="0"/>
          <w:color w:val="1C242C"/>
          <w:sz w:val="22"/>
        </w:rPr>
        <w:t>O Ideb de 2025 mostrou o melhor ponto da série e, ao mesmo tempo, o fracasso relativo dos anos finais (5,3 contra meta 5,5) e do ensino médio público (4,3). O PISA 2022, última onda internacional consultada, deixou 73% dos alunos abaixo do nível básico de matemática. A União gastou acima do mínimo constitucional em 2025. O problema não é a inexistência de escola. É que a criança pobre atravessa o fundamental sem o domínio que o resto do plano precisa para existir: ler, calcular, terminar.</w:t>
      </w:r>
    </w:p>
    <w:p>
      <w:pPr>
        <w:pStyle w:val="Heading2"/>
      </w:pPr>
      <w:r>
        <w:t>2. Objetivo político</w:t>
      </w:r>
    </w:p>
    <w:p>
      <w:pPr>
        <w:spacing w:after="160" w:line="269" w:lineRule="auto"/>
      </w:pPr>
      <w:r>
        <w:rPr>
          <w:rFonts w:ascii="Liberation Serif" w:hAnsi="Liberation Serif" w:eastAsia="Liberation Serif"/>
          <w:b w:val="0"/>
          <w:i w:val="0"/>
          <w:color w:val="1C242C"/>
          <w:sz w:val="22"/>
        </w:rPr>
        <w:t>Toda criança alfabetizada ao fim do 2º ano, medida por avaliação censitária, não por declaração da rede. Ensino médio público com meta de Ideb e de proficiência publicada por estado, sem prometer nota 7 em quatro anos. Pesquisa com orçamento que não suma num contingenciamento de agosto.</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5.1. </w:t>
      </w:r>
      <w:r>
        <w:rPr>
          <w:rFonts w:ascii="Liberation Serif" w:hAnsi="Liberation Serif" w:eastAsia="Liberation Serif"/>
          <w:b w:val="0"/>
          <w:i w:val="0"/>
          <w:color w:val="1C242C"/>
          <w:sz w:val="22"/>
        </w:rPr>
        <w:t>Avaliação censitária de leitura ao fim do 2º ano, a partir de 2028, com devolutiva por escola para a rede e versão pública por município. Estado ou município que piorar sem guerra, enchente ou epidemia documentada recebe assistência técnica federal obrigatória, não perda de Fundeb. Aluno não é punido por nota de sistema.</w:t>
      </w:r>
    </w:p>
    <w:p>
      <w:pPr>
        <w:spacing w:after="160" w:line="269" w:lineRule="auto"/>
      </w:pPr>
      <w:r>
        <w:rPr>
          <w:rFonts w:ascii="Liberation Serif" w:hAnsi="Liberation Serif" w:eastAsia="Liberation Serif"/>
          <w:b/>
          <w:i w:val="0"/>
          <w:color w:val="1C242C"/>
          <w:sz w:val="22"/>
        </w:rPr>
        <w:t xml:space="preserve">Proposta 5.2. </w:t>
      </w:r>
      <w:r>
        <w:rPr>
          <w:rFonts w:ascii="Liberation Serif" w:hAnsi="Liberation Serif" w:eastAsia="Liberation Serif"/>
          <w:b w:val="0"/>
          <w:i w:val="0"/>
          <w:color w:val="1C242C"/>
          <w:sz w:val="22"/>
        </w:rPr>
        <w:t>Complemento federal temporário, por quatro anos, para professor alfabetizador em escola pública abaixo do corte de proficiência, pago como bolsa de dedicação e formação, não como reajuste geral nacional de piso — o piso continua lei própria. Escala cheia contingente à trava fiscal; piloto em 2027 nos estados de pior desempenho do Ideb dos anos iniciais.</w:t>
      </w:r>
    </w:p>
    <w:p>
      <w:pPr>
        <w:spacing w:after="160" w:line="269" w:lineRule="auto"/>
      </w:pPr>
      <w:r>
        <w:rPr>
          <w:rFonts w:ascii="Liberation Serif" w:hAnsi="Liberation Serif" w:eastAsia="Liberation Serif"/>
          <w:b/>
          <w:i w:val="0"/>
          <w:color w:val="1C242C"/>
          <w:sz w:val="22"/>
        </w:rPr>
        <w:t xml:space="preserve">Proposta 5.3. </w:t>
      </w:r>
      <w:r>
        <w:rPr>
          <w:rFonts w:ascii="Liberation Serif" w:hAnsi="Liberation Serif" w:eastAsia="Liberation Serif"/>
          <w:b w:val="0"/>
          <w:i w:val="0"/>
          <w:color w:val="1C242C"/>
          <w:sz w:val="22"/>
        </w:rPr>
        <w:t>Ensino integral só onde houver sala e professor. Meta condicional: 1 milhão de novas matrículas integrais até 2030 se o Fundeb e a adesão local comportarem. Onde não houver prédio, a prioridade é alfabetização em turno único decente, não o anúncio de escola de tempo integral no papel.</w:t>
      </w:r>
    </w:p>
    <w:p>
      <w:pPr>
        <w:spacing w:after="160" w:line="269" w:lineRule="auto"/>
      </w:pPr>
      <w:r>
        <w:rPr>
          <w:rFonts w:ascii="Liberation Serif" w:hAnsi="Liberation Serif" w:eastAsia="Liberation Serif"/>
          <w:b/>
          <w:i w:val="0"/>
          <w:color w:val="1C242C"/>
          <w:sz w:val="22"/>
        </w:rPr>
        <w:t xml:space="preserve">Proposta 5.4. </w:t>
      </w:r>
      <w:r>
        <w:rPr>
          <w:rFonts w:ascii="Liberation Serif" w:hAnsi="Liberation Serif" w:eastAsia="Liberation Serif"/>
          <w:b w:val="0"/>
          <w:i w:val="0"/>
          <w:color w:val="1C242C"/>
          <w:sz w:val="22"/>
        </w:rPr>
        <w:t>Ensino médio: português, matemática e um itinerário técnico com institutos federais, Sistema S e redes estaduais, em vez de grade encyclopédica nova. Universidade pública segue gratuita. A expansão de campus novo fica suspensa no mandato; o dinheiro vai para concluir obra parada, curso noturno e permanência, medida por evasão. Fies apenas com pagamento contingente à renda e com curso acima de um piso de qualidade no Enade. Cotas raciais e sociais já existentes em universidade e serviço público federais são mantidas no mandato e avaliadas em 2029; não há cota obrigatória nova para empresa privada.</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Avaliação pode ser instituída pelo Inep com lei ou com reformulação de exame já autorizado; o governo preferirá lei curta para evitar disputa de atribuição. Bolsa de alfabetizador é lei com dotação. Fundeb é constitucional e não será reaberto. Pesquisa: piso real de CNPq e Capes na lei orçamentária, por compromisso de execução, não por emenda.</w:t>
      </w:r>
    </w:p>
    <w:p>
      <w:pPr>
        <w:pStyle w:val="Heading2"/>
      </w:pPr>
      <w:r>
        <w:t>5. Prazo</w:t>
      </w:r>
    </w:p>
    <w:p>
      <w:pPr>
        <w:spacing w:after="160" w:line="269" w:lineRule="auto"/>
      </w:pPr>
      <w:r>
        <w:rPr>
          <w:rFonts w:ascii="Liberation Serif" w:hAnsi="Liberation Serif" w:eastAsia="Liberation Serif"/>
          <w:b w:val="0"/>
          <w:i w:val="0"/>
          <w:color w:val="1C242C"/>
          <w:sz w:val="22"/>
        </w:rPr>
        <w:t>Desenho da avaliação em 2027, primeira aplicação censitária em 2028. Piloto de alfabetizadores em 2027. Decisão sobre campus novos: imediata, é uma suspensão. Relatório de cotas em 2029.</w:t>
      </w:r>
    </w:p>
    <w:p>
      <w:pPr>
        <w:pStyle w:val="Heading2"/>
      </w:pPr>
      <w:r>
        <w:t>6. Custo ou impacto fiscal</w:t>
      </w:r>
    </w:p>
    <w:p>
      <w:pPr>
        <w:spacing w:after="160" w:line="269" w:lineRule="auto"/>
      </w:pPr>
      <w:r>
        <w:rPr>
          <w:rFonts w:ascii="Liberation Serif" w:hAnsi="Liberation Serif" w:eastAsia="Liberation Serif"/>
          <w:b w:val="0"/>
          <w:i w:val="0"/>
          <w:color w:val="1C242C"/>
          <w:sz w:val="22"/>
        </w:rPr>
        <w:t>Bolsa de alfabetização e apoio à avaliação, na escala cheia, em torno de 0,15% do PIB no fim do mandato, maior item social novo do programa junto com saneamento focalizado. Sem a lei de renúncias, o piloto cabe em menos de um terço disso, dentro da educação já financiada.</w:t>
      </w:r>
    </w:p>
    <w:p>
      <w:pPr>
        <w:pStyle w:val="Heading2"/>
      </w:pPr>
      <w:r>
        <w:t>7. Fonte de financiamento</w:t>
      </w:r>
    </w:p>
    <w:p>
      <w:pPr>
        <w:spacing w:after="160" w:line="269" w:lineRule="auto"/>
      </w:pPr>
      <w:r>
        <w:rPr>
          <w:rFonts w:ascii="Liberation Serif" w:hAnsi="Liberation Serif" w:eastAsia="Liberation Serif"/>
          <w:b w:val="0"/>
          <w:i w:val="0"/>
          <w:color w:val="1C242C"/>
          <w:sz w:val="22"/>
        </w:rPr>
        <w:t>Mínimo constitucional de educação primeiro. Margem nova: trava fiscal. Não haverá contribuição educacional extra sobre folha.</w:t>
      </w:r>
    </w:p>
    <w:p>
      <w:pPr>
        <w:pStyle w:val="Heading2"/>
      </w:pPr>
      <w:r>
        <w:t>8. Indicador de sucesso</w:t>
      </w:r>
    </w:p>
    <w:p>
      <w:pPr>
        <w:spacing w:after="160" w:line="269" w:lineRule="auto"/>
      </w:pPr>
      <w:r>
        <w:rPr>
          <w:rFonts w:ascii="Liberation Serif" w:hAnsi="Liberation Serif" w:eastAsia="Liberation Serif"/>
          <w:b w:val="0"/>
          <w:i w:val="0"/>
          <w:color w:val="1C242C"/>
          <w:sz w:val="22"/>
        </w:rPr>
        <w:t>Percentual de crianças no nível adequado de leitura ao fim do 2º ano, quando a série passar a existir — a meta política é a maioria absoluta das crianças das redes públicas nesse nível em 2030, e o programa admite que partir de uma base ruim torna isso difícil. Ideb dos anos finais pelo menos na meta que hoje é 5,5. Evasão no médio público em queda. Execução real de CNPq/Capes não inferior à dotação corrigida pela inflação de 2026.</w:t>
      </w:r>
    </w:p>
    <w:p>
      <w:pPr>
        <w:pStyle w:val="Heading2"/>
      </w:pPr>
      <w:r>
        <w:t>9. Riscos e dificuldades</w:t>
      </w:r>
    </w:p>
    <w:p>
      <w:pPr>
        <w:spacing w:after="160" w:line="269" w:lineRule="auto"/>
      </w:pPr>
      <w:r>
        <w:rPr>
          <w:rFonts w:ascii="Liberation Serif" w:hAnsi="Liberation Serif" w:eastAsia="Liberation Serif"/>
          <w:b w:val="0"/>
          <w:i w:val="0"/>
          <w:color w:val="1C242C"/>
          <w:sz w:val="22"/>
        </w:rPr>
        <w:t>Avaliação censitária será chamada de ranqueamento punitivo. O desenho — sem corte de Fundeb e sem exposição humilhante de criança — é a resposta, e pode não bastar politicamente. Complemento salarial federal pode virar penduricalho permanente: a lei terá morte em 2030, só renovada por outra lei se o indicador mover.</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A sala de aula do fundamental é de município e de estado. A União não nomeia professor da rede local nem impõe método único por decreto. Impõe avaliação, dinheiro condicionado e exemplo nos institutos federais. Universidade federal é da União: aí a suspensão de campus novo é ato próprio, respeitada a autonomia acadêmica do que já existe.</w:t>
      </w:r>
    </w:p>
    <w:p>
      <w:pPr>
        <w:pStyle w:val="Heading1"/>
      </w:pPr>
      <w:r>
        <w:t>Eixo 6 — Segurança pública</w:t>
      </w:r>
    </w:p>
    <w:p>
      <w:pPr>
        <w:pStyle w:val="Heading2"/>
      </w:pPr>
      <w:r>
        <w:t>1. Diagnóstico</w:t>
      </w:r>
    </w:p>
    <w:p>
      <w:pPr>
        <w:spacing w:after="160" w:line="269" w:lineRule="auto"/>
      </w:pPr>
      <w:r>
        <w:rPr>
          <w:rFonts w:ascii="Liberation Serif" w:hAnsi="Liberation Serif" w:eastAsia="Liberation Serif"/>
          <w:b w:val="0"/>
          <w:i w:val="0"/>
          <w:color w:val="1C242C"/>
          <w:sz w:val="22"/>
        </w:rPr>
        <w:t>Em 2025 o Brasil teve 40.775 mortes violentas intencionais, taxa de 19,1 por 100 mil, a menor da série desde 2012, e 32.914 homicídios dolosos, taxa de 15,4. A queda é fato. Também é fato o recorde de 1.571 feminicídios e a alta das mortes por intervenção policial, 6.602 numa das aberturas publicadas, cerca de 6% acima do ano anterior. Norte e Nordeste concentram as piores taxas. Facção segue organizando presídio, fronteira e mercado de droga. A Polícia Militar é estadual: qualquer plano federal que fale como se o presidente comandasse a ronda mente.</w:t>
      </w:r>
    </w:p>
    <w:p>
      <w:pPr>
        <w:pStyle w:val="Heading2"/>
      </w:pPr>
      <w:r>
        <w:t>2. Objetivo político</w:t>
      </w:r>
    </w:p>
    <w:p>
      <w:pPr>
        <w:spacing w:after="160" w:line="269" w:lineRule="auto"/>
      </w:pPr>
      <w:r>
        <w:rPr>
          <w:rFonts w:ascii="Liberation Serif" w:hAnsi="Liberation Serif" w:eastAsia="Liberation Serif"/>
          <w:b w:val="0"/>
          <w:i w:val="0"/>
          <w:color w:val="1C242C"/>
          <w:sz w:val="22"/>
        </w:rPr>
        <w:t>Manter a queda de mortes violentas e inverter a alta de feminicídios e de letalidade policial. Subir a elucidação de homicídio nos dez estados de pior desempenho. Separar facção dentro do presídio que receba recurso federal. Não decretar guerra às drogas contra usuário e não tratar organização criminosa como questão social apenas.</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6.1. </w:t>
      </w:r>
      <w:r>
        <w:rPr>
          <w:rFonts w:ascii="Liberation Serif" w:hAnsi="Liberation Serif" w:eastAsia="Liberation Serif"/>
          <w:b w:val="0"/>
          <w:i w:val="0"/>
          <w:color w:val="1C242C"/>
          <w:sz w:val="22"/>
        </w:rPr>
        <w:t>Fundo federal de inteligência e de presídio só para estado que separar facções em unidades distintas, alimentar o sistema nacional de informações e publicar letalidade policial mês a mês. Quem não aderir não perde a polícia; perde o dinheiro voluntário.</w:t>
      </w:r>
    </w:p>
    <w:p>
      <w:pPr>
        <w:spacing w:after="160" w:line="269" w:lineRule="auto"/>
      </w:pPr>
      <w:r>
        <w:rPr>
          <w:rFonts w:ascii="Liberation Serif" w:hAnsi="Liberation Serif" w:eastAsia="Liberation Serif"/>
          <w:b/>
          <w:i w:val="0"/>
          <w:color w:val="1C242C"/>
          <w:sz w:val="22"/>
        </w:rPr>
        <w:t xml:space="preserve">Proposta 6.2. </w:t>
      </w:r>
      <w:r>
        <w:rPr>
          <w:rFonts w:ascii="Liberation Serif" w:hAnsi="Liberation Serif" w:eastAsia="Liberation Serif"/>
          <w:b w:val="0"/>
          <w:i w:val="0"/>
          <w:color w:val="1C242C"/>
          <w:sz w:val="22"/>
        </w:rPr>
        <w:t>Câmera corporal obrigatória nas unidades táticas que recebam recurso federal, com cadeia de custódia e perda de repasse se a câmera «não funcionar» de modo sistemático em morte decorrente de intervenção. Não é meta de corpo. É meta de prova.</w:t>
      </w:r>
    </w:p>
    <w:p>
      <w:pPr>
        <w:spacing w:after="160" w:line="269" w:lineRule="auto"/>
      </w:pPr>
      <w:r>
        <w:rPr>
          <w:rFonts w:ascii="Liberation Serif" w:hAnsi="Liberation Serif" w:eastAsia="Liberation Serif"/>
          <w:b/>
          <w:i w:val="0"/>
          <w:color w:val="1C242C"/>
          <w:sz w:val="22"/>
        </w:rPr>
        <w:t xml:space="preserve">Proposta 6.3. </w:t>
      </w:r>
      <w:r>
        <w:rPr>
          <w:rFonts w:ascii="Liberation Serif" w:hAnsi="Liberation Serif" w:eastAsia="Liberation Serif"/>
          <w:b w:val="0"/>
          <w:i w:val="0"/>
          <w:color w:val="1C242C"/>
          <w:sz w:val="22"/>
        </w:rPr>
        <w:t>Feminicídio: cofinanciar núcleo especializado de investigação e tornozeleira com dever de resposta em horas à violação de medida protetiva, nos municípios de maior taxa. A linha de base é 1.571 mortes em 2025. A meta é quebrar a série de recordes até 2028 e reduzir o número absoluto até 2030. Zero não será prometido.</w:t>
      </w:r>
    </w:p>
    <w:p>
      <w:pPr>
        <w:spacing w:after="160" w:line="269" w:lineRule="auto"/>
      </w:pPr>
      <w:r>
        <w:rPr>
          <w:rFonts w:ascii="Liberation Serif" w:hAnsi="Liberation Serif" w:eastAsia="Liberation Serif"/>
          <w:b/>
          <w:i w:val="0"/>
          <w:color w:val="1C242C"/>
          <w:sz w:val="22"/>
        </w:rPr>
        <w:t xml:space="preserve">Proposta 6.4. </w:t>
      </w:r>
      <w:r>
        <w:rPr>
          <w:rFonts w:ascii="Liberation Serif" w:hAnsi="Liberation Serif" w:eastAsia="Liberation Serif"/>
          <w:b w:val="0"/>
          <w:i w:val="0"/>
          <w:color w:val="1C242C"/>
          <w:sz w:val="22"/>
        </w:rPr>
        <w:t>Fronteira: centros integrados em rios da Amazônia e nos eixos de entrada do arco norte e da faixa central, com Polícia Federal, PRF e Forças Armadas em papel subsidiário, por decreto com prazo. O alvo é a logística da facção — arma, combustível, dinheiro —, não o ribeirinho.</w:t>
      </w:r>
    </w:p>
    <w:p>
      <w:pPr>
        <w:spacing w:after="160" w:line="269" w:lineRule="auto"/>
      </w:pPr>
      <w:r>
        <w:rPr>
          <w:rFonts w:ascii="Liberation Serif" w:hAnsi="Liberation Serif" w:eastAsia="Liberation Serif"/>
          <w:b/>
          <w:i w:val="0"/>
          <w:color w:val="1C242C"/>
          <w:sz w:val="22"/>
        </w:rPr>
        <w:t xml:space="preserve">Proposta 6.5. </w:t>
      </w:r>
      <w:r>
        <w:rPr>
          <w:rFonts w:ascii="Liberation Serif" w:hAnsi="Liberation Serif" w:eastAsia="Liberation Serif"/>
          <w:b w:val="0"/>
          <w:i w:val="0"/>
          <w:color w:val="1C242C"/>
          <w:sz w:val="22"/>
        </w:rPr>
        <w:t>Drogas, neste eixo apenas o ponto de segurança: cocaína, crack e sintéticos seguem como crime de organização, com perdimento de bens acelerado por lei. Cannabis para adulto é regulada no eixo das decisões controversas e não é anistia de tráfico.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Convênio e fundo são lei orçamentária e lei ordinária. Câmera em polícia estadual não se impõe por decreto a quem recusa o dinheiro. Garantia da Lei e da Ordem só com decreto formal, prazo curto e protocolo de morte publicado; não é política permanente. Maioridade penal é emenda e está no eixo de justiça, não se finge que seja portaria.</w:t>
      </w:r>
    </w:p>
    <w:p>
      <w:pPr>
        <w:pStyle w:val="Heading2"/>
      </w:pPr>
      <w:r>
        <w:t>5. Prazo</w:t>
      </w:r>
    </w:p>
    <w:p>
      <w:pPr>
        <w:spacing w:after="160" w:line="269" w:lineRule="auto"/>
      </w:pPr>
      <w:r>
        <w:rPr>
          <w:rFonts w:ascii="Liberation Serif" w:hAnsi="Liberation Serif" w:eastAsia="Liberation Serif"/>
          <w:b w:val="0"/>
          <w:i w:val="0"/>
          <w:color w:val="1C242C"/>
          <w:sz w:val="22"/>
        </w:rPr>
        <w:t>Sala nacional de homicídio e feminicídio com os estados, em 30 dias, mesmo antes de lei. Projeto do fundo nos primeiros seis meses. Primeiros centros de fronteira contratados até o fim de 2028. Curva de feminicídio julgada em 2028 e em 2030.</w:t>
      </w:r>
    </w:p>
    <w:p>
      <w:pPr>
        <w:pStyle w:val="Heading2"/>
      </w:pPr>
      <w:r>
        <w:t>6. Custo ou impacto fiscal</w:t>
      </w:r>
    </w:p>
    <w:p>
      <w:pPr>
        <w:spacing w:after="160" w:line="269" w:lineRule="auto"/>
      </w:pPr>
      <w:r>
        <w:rPr>
          <w:rFonts w:ascii="Liberation Serif" w:hAnsi="Liberation Serif" w:eastAsia="Liberation Serif"/>
          <w:b w:val="0"/>
          <w:i w:val="0"/>
          <w:color w:val="1C242C"/>
          <w:sz w:val="22"/>
        </w:rPr>
        <w:t>Ordem de 0,08% do PIB no fim do período, somando fundo, tornozeleira, câmera e fronteira, se a trava fiscal liberar a escala. Piloto de fronteira e de núcleos de feminicídio cabe no orçamento de segurança já existente e começa de qualquer modo.</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da União mais contrapartida estadual. Perdimento de bens de crime entra no fundo, mas o orçamento não conta com essa receita como se fosse certa: crime esconde ativo.</w:t>
      </w:r>
    </w:p>
    <w:p>
      <w:pPr>
        <w:pStyle w:val="Heading2"/>
      </w:pPr>
      <w:r>
        <w:t>8. Indicador de sucesso</w:t>
      </w:r>
    </w:p>
    <w:p>
      <w:pPr>
        <w:spacing w:after="160" w:line="269" w:lineRule="auto"/>
      </w:pPr>
      <w:r>
        <w:rPr>
          <w:rFonts w:ascii="Liberation Serif" w:hAnsi="Liberation Serif" w:eastAsia="Liberation Serif"/>
          <w:b w:val="0"/>
          <w:i w:val="0"/>
          <w:color w:val="1C242C"/>
          <w:sz w:val="22"/>
        </w:rPr>
        <w:t>Taxa nacional de mortes violentas intencionais abaixo de 17 por 100 mil em 2030, sem alta de subregistro — a série do Fórum e a do DataSUS de óbitos por agressão terão de andar juntas. Feminicídios em número absoluto menor em 2030 do que em 2025. Letalidade policial em queda nos estados aderentes. Elucidação: publicar a taxa no primeiro ano e subi-la 5 pontos nos dez piores até 2030. Se a taxa de elucidação de partida nem existir de modo comparável, o primeiro indicador é passá-la a existir.</w:t>
      </w:r>
    </w:p>
    <w:p>
      <w:pPr>
        <w:pStyle w:val="Heading2"/>
      </w:pPr>
      <w:r>
        <w:t>9. Riscos e dificuldades</w:t>
      </w:r>
    </w:p>
    <w:p>
      <w:pPr>
        <w:spacing w:after="160" w:line="269" w:lineRule="auto"/>
      </w:pPr>
      <w:r>
        <w:rPr>
          <w:rFonts w:ascii="Liberation Serif" w:hAnsi="Liberation Serif" w:eastAsia="Liberation Serif"/>
          <w:b w:val="0"/>
          <w:i w:val="0"/>
          <w:color w:val="1C242C"/>
          <w:sz w:val="22"/>
        </w:rPr>
        <w:t>Repressão pode aumentar mortes policiais antes de reduzir homicídio. O corte de dinheiro para quem não filma é a trava, e governadores podem preferir o discurso à câmera. Separar facção em presídio provoca motim: o plano precisa de vaga federal e de calendário, não de anúncio de terça com transferência na quarta.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Polícia civil e militar: estados. Polícia Federal, PRF, presídio federal, fronteira e Forças Armadas: União, esta última em missão definida. O presidente não escolhe delegado de homicídio da capital e não deve fingir que escolhe.</w:t>
      </w:r>
    </w:p>
    <w:p>
      <w:pPr>
        <w:pStyle w:val="Heading1"/>
      </w:pPr>
      <w:r>
        <w:t>Eixo 7 — Justiça e instituições</w:t>
      </w:r>
    </w:p>
    <w:p>
      <w:pPr>
        <w:pStyle w:val="Heading2"/>
      </w:pPr>
      <w:r>
        <w:t>1. Diagnóstico</w:t>
      </w:r>
    </w:p>
    <w:p>
      <w:pPr>
        <w:spacing w:after="160" w:line="269" w:lineRule="auto"/>
      </w:pPr>
      <w:r>
        <w:rPr>
          <w:rFonts w:ascii="Liberation Serif" w:hAnsi="Liberation Serif" w:eastAsia="Liberation Serif"/>
          <w:b w:val="0"/>
          <w:i w:val="0"/>
          <w:color w:val="1C242C"/>
          <w:sz w:val="22"/>
        </w:rPr>
        <w:t>O contencioso brasileiro é lento onde a vida econômica e a vida penal precisam de resposta: execução fiscal, terra, crime organizado, corrupção de colarinho. O sistema de justiça é independente e deve continuar. O problema não é falta de instituição. É excesso de processo repetido, prova que não chega e, no outro extremo, a tentação política de enfraquecer juiz e procurador quando a investigação sobe a rampa.</w:t>
      </w:r>
    </w:p>
    <w:p>
      <w:pPr>
        <w:pStyle w:val="Heading2"/>
      </w:pPr>
      <w:r>
        <w:t>2. Objetivo político</w:t>
      </w:r>
    </w:p>
    <w:p>
      <w:pPr>
        <w:spacing w:after="160" w:line="269" w:lineRule="auto"/>
      </w:pPr>
      <w:r>
        <w:rPr>
          <w:rFonts w:ascii="Liberation Serif" w:hAnsi="Liberation Serif" w:eastAsia="Liberation Serif"/>
          <w:b w:val="0"/>
          <w:i w:val="0"/>
          <w:color w:val="1C242C"/>
          <w:sz w:val="22"/>
        </w:rPr>
        <w:t>Mais elucidação e mais perdimento de produto de crime, com garantia intacta. Menos tempo no contencioso tributário de massa. Nenhuma anistia de corrupção como moeda de coalizão. Emenda estreita da maioridade penal apenas para crime hediondo, em regime separado, sabendo que pode não passar.</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7.1. </w:t>
      </w:r>
      <w:r>
        <w:rPr>
          <w:rFonts w:ascii="Liberation Serif" w:hAnsi="Liberation Serif" w:eastAsia="Liberation Serif"/>
          <w:b w:val="0"/>
          <w:i w:val="0"/>
          <w:color w:val="1C242C"/>
          <w:sz w:val="22"/>
        </w:rPr>
        <w:t>Emenda constitucional: responsabilidade penal aos 16 anos somente para homicídio doloso, latrocínio, estupro e roubo com resultado morte, em estabelecimento separado do presídio adulto e do internato comum, com revisão obrigatória dos efeitos aos 36 meses. O Estatuto da Criança e do Adolescente permanece para o resto. Lúcia Okamoto registra divergência de ênfase: aceita a separação e a revisão; não fará campanha entusiasmada pela emenda. A chapa ainda assim a envia, porque Elias a considera devida e porque escondê-la seria pior.</w:t>
      </w:r>
    </w:p>
    <w:p>
      <w:pPr>
        <w:spacing w:after="160" w:line="269" w:lineRule="auto"/>
      </w:pPr>
      <w:r>
        <w:rPr>
          <w:rFonts w:ascii="Liberation Serif" w:hAnsi="Liberation Serif" w:eastAsia="Liberation Serif"/>
          <w:b/>
          <w:i w:val="0"/>
          <w:color w:val="1C242C"/>
          <w:sz w:val="22"/>
        </w:rPr>
        <w:t xml:space="preserve">Proposta 7.2. </w:t>
      </w:r>
      <w:r>
        <w:rPr>
          <w:rFonts w:ascii="Liberation Serif" w:hAnsi="Liberation Serif" w:eastAsia="Liberation Serif"/>
          <w:b w:val="0"/>
          <w:i w:val="0"/>
          <w:color w:val="1C242C"/>
          <w:sz w:val="22"/>
        </w:rPr>
        <w:t>Lei de perdimento administrativo acelerado de bem já vinculado a organização criminosa, com contraditório e juiz, sem confisco sumário de patrimônio familiar não conectado. Meta de processo: reduzir pela metade o tempo mediano entre apreensão e destinação nos casos federais até 2030.</w:t>
      </w:r>
    </w:p>
    <w:p>
      <w:pPr>
        <w:spacing w:after="160" w:line="269" w:lineRule="auto"/>
      </w:pPr>
      <w:r>
        <w:rPr>
          <w:rFonts w:ascii="Liberation Serif" w:hAnsi="Liberation Serif" w:eastAsia="Liberation Serif"/>
          <w:b/>
          <w:i w:val="0"/>
          <w:color w:val="1C242C"/>
          <w:sz w:val="22"/>
        </w:rPr>
        <w:t xml:space="preserve">Proposta 7.3. </w:t>
      </w:r>
      <w:r>
        <w:rPr>
          <w:rFonts w:ascii="Liberation Serif" w:hAnsi="Liberation Serif" w:eastAsia="Liberation Serif"/>
          <w:b w:val="0"/>
          <w:i w:val="0"/>
          <w:color w:val="1C242C"/>
          <w:sz w:val="22"/>
        </w:rPr>
        <w:t>Mutirão do contencioso tributário federal de baixo valor e consolidação do que já foi decidido de modo repetido no Carf e nos tribunais, por súmula administrativa vinculante onde a lei permitir, e por projeto de súmula legal onde não permitir. A intenção é tirar empresa pequena de uma fila de anos, não perdoar grande devedor.</w:t>
      </w:r>
    </w:p>
    <w:p>
      <w:pPr>
        <w:spacing w:after="160" w:line="269" w:lineRule="auto"/>
      </w:pPr>
      <w:r>
        <w:rPr>
          <w:rFonts w:ascii="Liberation Serif" w:hAnsi="Liberation Serif" w:eastAsia="Liberation Serif"/>
          <w:b/>
          <w:i w:val="0"/>
          <w:color w:val="1C242C"/>
          <w:sz w:val="22"/>
        </w:rPr>
        <w:t xml:space="preserve">Proposta 7.4. </w:t>
      </w:r>
      <w:r>
        <w:rPr>
          <w:rFonts w:ascii="Liberation Serif" w:hAnsi="Liberation Serif" w:eastAsia="Liberation Serif"/>
          <w:b w:val="0"/>
          <w:i w:val="0"/>
          <w:color w:val="1C242C"/>
          <w:sz w:val="22"/>
        </w:rPr>
        <w:t>Transparência de acordos de leniência: valor, prazo e sócio beneficiado em base pública, ressalvado o que for diligência aberta. CGU e Polícia Federal não perdem atribuição. Não haverá projeto para intimidar o Ministério Público sob o nome de abuso de autoridade além de uma consolidação técnica das dúvidas já existentes, sem pena nova contra juiz por interpretação.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Maioridade: emenda, três quintos, dois turnos, duas casas. Com 8% das cadeiras, a probabilidade é baixa. O resto do eixo não depende dela. Perdimento e contencioso: lei ordinária. Transparência de leniência: decreto e, onde esbarrar em sigilo legal, lei.</w:t>
      </w:r>
    </w:p>
    <w:p>
      <w:pPr>
        <w:pStyle w:val="Heading2"/>
      </w:pPr>
      <w:r>
        <w:t>5. Prazo</w:t>
      </w:r>
    </w:p>
    <w:p>
      <w:pPr>
        <w:spacing w:after="160" w:line="269" w:lineRule="auto"/>
      </w:pPr>
      <w:r>
        <w:rPr>
          <w:rFonts w:ascii="Liberation Serif" w:hAnsi="Liberation Serif" w:eastAsia="Liberation Serif"/>
          <w:b w:val="0"/>
          <w:i w:val="0"/>
          <w:color w:val="1C242C"/>
          <w:sz w:val="22"/>
        </w:rPr>
        <w:t>Emenda apresentada no primeiro ano, sem tratá-la como fato consumado. Lei de perdimento no primeiro ano. Base de leniência em 180 dias para os acordos já assinados que a lei permitir revelar.</w:t>
      </w:r>
    </w:p>
    <w:p>
      <w:pPr>
        <w:pStyle w:val="Heading2"/>
      </w:pPr>
      <w:r>
        <w:t>6. Custo ou impacto fiscal</w:t>
      </w:r>
    </w:p>
    <w:p>
      <w:pPr>
        <w:spacing w:after="160" w:line="269" w:lineRule="auto"/>
      </w:pPr>
      <w:r>
        <w:rPr>
          <w:rFonts w:ascii="Liberation Serif" w:hAnsi="Liberation Serif" w:eastAsia="Liberation Serif"/>
          <w:b w:val="0"/>
          <w:i w:val="0"/>
          <w:color w:val="1C242C"/>
          <w:sz w:val="22"/>
        </w:rPr>
        <w:t>Estabelecimentos separados para o regime de 16 anos, se a emenda passar, exigem investimento com estados: ordem de algumas centenas de milhões por ano, não de ponto de PIB, e só depois da emenda. Sem emenda, custo zero nesse item. Mutirão tributário é custo de servidor já existente, reorganizado.</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da Justiça e transferências penitenciárias. Sem taxa judiciária nova sobre o pobre.</w:t>
      </w:r>
    </w:p>
    <w:p>
      <w:pPr>
        <w:pStyle w:val="Heading2"/>
      </w:pPr>
      <w:r>
        <w:t>8. Indicador de sucesso</w:t>
      </w:r>
    </w:p>
    <w:p>
      <w:pPr>
        <w:spacing w:after="160" w:line="269" w:lineRule="auto"/>
      </w:pPr>
      <w:r>
        <w:rPr>
          <w:rFonts w:ascii="Liberation Serif" w:hAnsi="Liberation Serif" w:eastAsia="Liberation Serif"/>
          <w:b w:val="0"/>
          <w:i w:val="0"/>
          <w:color w:val="1C242C"/>
          <w:sz w:val="22"/>
        </w:rPr>
        <w:t>Se a emenda passar: reincidência do grupo aos 36 meses comparada à do internato atual, publicada mesmo se for pior — esse é o gatilho de revisão. Tempo mediano de destinação de bem apreendido na Justiça Federal. Estoque de processos tributários federais de valor inferior ao corte definido em 2027.</w:t>
      </w:r>
    </w:p>
    <w:p>
      <w:pPr>
        <w:pStyle w:val="Heading2"/>
      </w:pPr>
      <w:r>
        <w:t>9. Riscos e dificuldades</w:t>
      </w:r>
    </w:p>
    <w:p>
      <w:pPr>
        <w:spacing w:after="160" w:line="269" w:lineRule="auto"/>
      </w:pPr>
      <w:r>
        <w:rPr>
          <w:rFonts w:ascii="Liberation Serif" w:hAnsi="Liberation Serif" w:eastAsia="Liberation Serif"/>
          <w:b w:val="0"/>
          <w:i w:val="0"/>
          <w:color w:val="1C242C"/>
          <w:sz w:val="22"/>
        </w:rPr>
        <w:t>A emenda pode ser alargada no Congresso para um pacote penal que Elias vetará se alcançar crime não hediondo ou mistura com adulto. O perdimento acelerado pode atingir terceiro de boa-fé: o contraditório não é enfeite. Súmula tributária mal feita consolida erro; por isso só entra com precedente judicial estável.</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O presidente não manda em juiz, em procurador nem em delegado de estado. Propõe lei, sanciona, veta e organiza a polícia e a advocacia públicas federais. Defensoria da União será fortalecida em terra e em execução penal federal, ato orçamentário próprio.</w:t>
      </w:r>
    </w:p>
    <w:p>
      <w:pPr>
        <w:pStyle w:val="Heading1"/>
      </w:pPr>
      <w:r>
        <w:t>Eixo 8 — Defesa nacional</w:t>
      </w:r>
    </w:p>
    <w:p>
      <w:pPr>
        <w:pStyle w:val="Heading2"/>
      </w:pPr>
      <w:r>
        <w:t>1. Diagnóstico</w:t>
      </w:r>
    </w:p>
    <w:p>
      <w:pPr>
        <w:spacing w:after="160" w:line="269" w:lineRule="auto"/>
      </w:pPr>
      <w:r>
        <w:rPr>
          <w:rFonts w:ascii="Liberation Serif" w:hAnsi="Liberation Serif" w:eastAsia="Liberation Serif"/>
          <w:b w:val="0"/>
          <w:i w:val="0"/>
          <w:color w:val="1C242C"/>
          <w:sz w:val="22"/>
        </w:rPr>
        <w:t>O Brasil tem fronteira longa, Amazônia de difícil presença, mar e cabo submarino, e Forças Armadas profissionais sob comando civil. Não tem ameaça estatal iminente de invasão clássica na data-base, e tem ameaça real de crime transfronteiriço, de ataque cibernético e de soberania declarada sem sensor que a sustente. Este diagnóstico não crava o percentual exato do PIB gasto em defesa em 2026, porque não reprocessou o orçamento militar fechado; trata o patamar histórico recente, perto de pouco mais de 1% do PIB, como ordem de grandeza a confirmar no primeiro mês de governo com o número oficial, não como casa decimal de comício.</w:t>
      </w:r>
    </w:p>
    <w:p>
      <w:pPr>
        <w:pStyle w:val="Heading2"/>
      </w:pPr>
      <w:r>
        <w:t>2. Objetivo político</w:t>
      </w:r>
    </w:p>
    <w:p>
      <w:pPr>
        <w:spacing w:after="160" w:line="269" w:lineRule="auto"/>
      </w:pPr>
      <w:r>
        <w:rPr>
          <w:rFonts w:ascii="Liberation Serif" w:hAnsi="Liberation Serif" w:eastAsia="Liberation Serif"/>
          <w:b w:val="0"/>
          <w:i w:val="0"/>
          <w:color w:val="1C242C"/>
          <w:sz w:val="22"/>
        </w:rPr>
        <w:t>Elevar gradualmente o esforço de defesa em direção a 1,5% do PIB até 2030, só na medida em que a regra fiscal permitir, e mudar a composição: mais monitoramento, rio, satélite, cibernética e manutenção; menos projeto de prestígio sem peça de reposição. Comando civil mantido. Serviço militar obrigatório não será ampliado.</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8.1. </w:t>
      </w:r>
      <w:r>
        <w:rPr>
          <w:rFonts w:ascii="Liberation Serif" w:hAnsi="Liberation Serif" w:eastAsia="Liberation Serif"/>
          <w:b w:val="0"/>
          <w:i w:val="0"/>
          <w:color w:val="1C242C"/>
          <w:sz w:val="22"/>
        </w:rPr>
        <w:t>Programa de presença na Amazônia: sensores, embarcações de patrulha, destacamentos de fronteira já previstos e integração com o centro do eixo de segurança. As Forças não substituem a Polícia Federal. Fecham o vazio onde hoje só a facção tem logística.</w:t>
      </w:r>
    </w:p>
    <w:p>
      <w:pPr>
        <w:spacing w:after="160" w:line="269" w:lineRule="auto"/>
      </w:pPr>
      <w:r>
        <w:rPr>
          <w:rFonts w:ascii="Liberation Serif" w:hAnsi="Liberation Serif" w:eastAsia="Liberation Serif"/>
          <w:b/>
          <w:i w:val="0"/>
          <w:color w:val="1C242C"/>
          <w:sz w:val="22"/>
        </w:rPr>
        <w:t xml:space="preserve">Proposta 8.2. </w:t>
      </w:r>
      <w:r>
        <w:rPr>
          <w:rFonts w:ascii="Liberation Serif" w:hAnsi="Liberation Serif" w:eastAsia="Liberation Serif"/>
          <w:b w:val="0"/>
          <w:i w:val="0"/>
          <w:color w:val="1C242C"/>
          <w:sz w:val="22"/>
        </w:rPr>
        <w:t>Comando cibernético sob o Ministério da Defesa, com autoridade civil, relatório público anual de incidentes contra a administração federal e separação clara entre defesa de rede pública e qualquer tentação de vigiar opositor. Vigilância política é causa de demissão.</w:t>
      </w:r>
    </w:p>
    <w:p>
      <w:pPr>
        <w:spacing w:after="160" w:line="269" w:lineRule="auto"/>
      </w:pPr>
      <w:r>
        <w:rPr>
          <w:rFonts w:ascii="Liberation Serif" w:hAnsi="Liberation Serif" w:eastAsia="Liberation Serif"/>
          <w:b/>
          <w:i w:val="0"/>
          <w:color w:val="1C242C"/>
          <w:sz w:val="22"/>
        </w:rPr>
        <w:t xml:space="preserve">Proposta 8.3. </w:t>
      </w:r>
      <w:r>
        <w:rPr>
          <w:rFonts w:ascii="Liberation Serif" w:hAnsi="Liberation Serif" w:eastAsia="Liberation Serif"/>
          <w:b w:val="0"/>
          <w:i w:val="0"/>
          <w:color w:val="1C242C"/>
          <w:sz w:val="22"/>
        </w:rPr>
        <w:t>Satélite e indústria: continuar programas duais já contratados, com offset publicado e sem contrato secreto de conteúdo nacional que só beneficie um estaleiro amigo. Auditoria do que estiver atrasado nos primeiros 180 dias; o que não tiver peça e prazo é renegociado ou encerrado.</w:t>
      </w:r>
    </w:p>
    <w:p>
      <w:pPr>
        <w:spacing w:after="160" w:line="269" w:lineRule="auto"/>
      </w:pPr>
      <w:r>
        <w:rPr>
          <w:rFonts w:ascii="Liberation Serif" w:hAnsi="Liberation Serif" w:eastAsia="Liberation Serif"/>
          <w:b/>
          <w:i w:val="0"/>
          <w:color w:val="1C242C"/>
          <w:sz w:val="22"/>
        </w:rPr>
        <w:t xml:space="preserve">Proposta 8.4. </w:t>
      </w:r>
      <w:r>
        <w:rPr>
          <w:rFonts w:ascii="Liberation Serif" w:hAnsi="Liberation Serif" w:eastAsia="Liberation Serif"/>
          <w:b w:val="0"/>
          <w:i w:val="0"/>
          <w:color w:val="1C242C"/>
          <w:sz w:val="22"/>
        </w:rPr>
        <w:t>Pensões militares: projeto de lei para militares que entrarem depois da sanção, com contribuição mais alta e regra mais próxima da civil, sem mexer em direito adquirido de quem já está na carreira. É proposta consciente de conflito com a corporação.</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Orçamento anual e plurianual. Missão subsidiária: decreto e lei de emprego das Forças. Pensão de futuro entrante: lei ordinária, possivelmente com disputa constitucional se tocar em regime próprio de modo amplo — o projeto será desenhado para não alcançar quem já ingressou.</w:t>
      </w:r>
    </w:p>
    <w:p>
      <w:pPr>
        <w:pStyle w:val="Heading2"/>
      </w:pPr>
      <w:r>
        <w:t>5. Prazo</w:t>
      </w:r>
    </w:p>
    <w:p>
      <w:pPr>
        <w:spacing w:after="160" w:line="269" w:lineRule="auto"/>
      </w:pPr>
      <w:r>
        <w:rPr>
          <w:rFonts w:ascii="Liberation Serif" w:hAnsi="Liberation Serif" w:eastAsia="Liberation Serif"/>
          <w:b w:val="0"/>
          <w:i w:val="0"/>
          <w:color w:val="1C242C"/>
          <w:sz w:val="22"/>
        </w:rPr>
        <w:t>Auditoria dos grandes projetos em 180 dias. Primeiro ciclo de patrulha fluvial ampliada em 2027–2028. Meta de 1,5% do PIB é de chegada em 2030 e pode não se cumprir se o primário exigir escolha; nesse caso, preserva-se Amazônia e cibernética e adia-se o resto.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Ir de pouco mais de 1% em direção a 1,5% do PIB é aumento relevante, da ordem de alguns décimos do PIB, e por isso é condicionado. Não entra na lista do que fura a trava fiscal. Se a trava não abrir, o aumento real fica próximo de zero e a composição interna é que muda.</w:t>
      </w:r>
    </w:p>
    <w:p>
      <w:pPr>
        <w:pStyle w:val="Heading2"/>
      </w:pPr>
      <w:r>
        <w:t>7. Fonte de financiamento</w:t>
      </w:r>
    </w:p>
    <w:p>
      <w:pPr>
        <w:spacing w:after="160" w:line="269" w:lineRule="auto"/>
      </w:pPr>
      <w:r>
        <w:rPr>
          <w:rFonts w:ascii="Liberation Serif" w:hAnsi="Liberation Serif" w:eastAsia="Liberation Serif"/>
          <w:b w:val="0"/>
          <w:i w:val="0"/>
          <w:color w:val="1C242C"/>
          <w:sz w:val="22"/>
        </w:rPr>
        <w:t>Orçamento da Defesa, sem imposto novo e sem contribuição de emergência. Offset não é financiamento; é condição de compra.</w:t>
      </w:r>
    </w:p>
    <w:p>
      <w:pPr>
        <w:pStyle w:val="Heading2"/>
      </w:pPr>
      <w:r>
        <w:t>8. Indicador de sucesso</w:t>
      </w:r>
    </w:p>
    <w:p>
      <w:pPr>
        <w:spacing w:after="160" w:line="269" w:lineRule="auto"/>
      </w:pPr>
      <w:r>
        <w:rPr>
          <w:rFonts w:ascii="Liberation Serif" w:hAnsi="Liberation Serif" w:eastAsia="Liberation Serif"/>
          <w:b w:val="0"/>
          <w:i w:val="0"/>
          <w:color w:val="1C242C"/>
          <w:sz w:val="22"/>
        </w:rPr>
        <w:t>Percentual de municípios da faixa de fronteira amazônica com cobertura de comunicação e tempo de resposta de patrulha publicado, linha de base em 2027. Número de incidentes cibernéticos graves na rede federal com recuperação dentro do prazo definido pelo comando. Relatório de projetos de defesa com custo, atraso e decisão de continuar ou parar.</w:t>
      </w:r>
    </w:p>
    <w:p>
      <w:pPr>
        <w:pStyle w:val="Heading2"/>
      </w:pPr>
      <w:r>
        <w:t>9. Riscos e dificuldades</w:t>
      </w:r>
    </w:p>
    <w:p>
      <w:pPr>
        <w:spacing w:after="160" w:line="269" w:lineRule="auto"/>
      </w:pPr>
      <w:r>
        <w:rPr>
          <w:rFonts w:ascii="Liberation Serif" w:hAnsi="Liberation Serif" w:eastAsia="Liberation Serif"/>
          <w:b w:val="0"/>
          <w:i w:val="0"/>
          <w:color w:val="1C242C"/>
          <w:sz w:val="22"/>
        </w:rPr>
        <w:t>Meta de gasto militar vira lobby de projeto caro. A condicionalidade fiscal e a auditoria de 180 dias existem para isso. Emprego interno das Forças em segurança, se banalizado, desgasta comando civil: cada GLO terá prazo e autópsia pública.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As Forças são da União. O presidente é o comandante supremo e não é o gerente de batalhão. Polícia de rua continua com o estado. Defesa não será usada como atalho para o eixo 6.</w:t>
      </w:r>
    </w:p>
    <w:p>
      <w:pPr>
        <w:pStyle w:val="Heading1"/>
      </w:pPr>
      <w:r>
        <w:t>Eixo 9 — Infraestrutura e transporte</w:t>
      </w:r>
    </w:p>
    <w:p>
      <w:pPr>
        <w:pStyle w:val="Heading2"/>
      </w:pPr>
      <w:r>
        <w:t>1. Diagnóstico</w:t>
      </w:r>
    </w:p>
    <w:p>
      <w:pPr>
        <w:spacing w:after="160" w:line="269" w:lineRule="auto"/>
      </w:pPr>
      <w:r>
        <w:rPr>
          <w:rFonts w:ascii="Liberation Serif" w:hAnsi="Liberation Serif" w:eastAsia="Liberation Serif"/>
          <w:b w:val="0"/>
          <w:i w:val="0"/>
          <w:color w:val="1C242C"/>
          <w:sz w:val="22"/>
        </w:rPr>
        <w:t>A taxa de investimento de 16,8% do PIB não constrói o país que a soja, o minério, a indústria e a cidade exigem. Rodovia leva carga que ferrovia e rio deveriam levar. Porto e acesso urbano a porto seguem como gargalo conhecido, mesmo sem um índice único de 2026 citado aqui como verdade definitiva. Concessão avançou em ciclos anteriores e convive com contrato ruim, tarifa política e obra inaugurada sem manutenção. Mobilidade urbana depende de prefeito e de governador; a União que espalha metrô em discurso sem projeto executivo só cria expectativa e aditivo.</w:t>
      </w:r>
    </w:p>
    <w:p>
      <w:pPr>
        <w:pStyle w:val="Heading2"/>
      </w:pPr>
      <w:r>
        <w:t>2. Objetivo político</w:t>
      </w:r>
    </w:p>
    <w:p>
      <w:pPr>
        <w:spacing w:after="160" w:line="269" w:lineRule="auto"/>
      </w:pPr>
      <w:r>
        <w:rPr>
          <w:rFonts w:ascii="Liberation Serif" w:hAnsi="Liberation Serif" w:eastAsia="Liberation Serif"/>
          <w:b w:val="0"/>
          <w:i w:val="0"/>
          <w:color w:val="1C242C"/>
          <w:sz w:val="22"/>
        </w:rPr>
        <w:t>Cinco decisões logísticas tomadas — contrato ou arquivamento — até 2029. Menos promessa de mapa, mais carga fora do caminhão onde o custo social do caminhão for maior. Concessão com indicador de serviço, não só com desconto de outorga.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9.1. </w:t>
      </w:r>
      <w:r>
        <w:rPr>
          <w:rFonts w:ascii="Liberation Serif" w:hAnsi="Liberation Serif" w:eastAsia="Liberation Serif"/>
          <w:b w:val="0"/>
          <w:i w:val="0"/>
          <w:color w:val="1C242C"/>
          <w:sz w:val="22"/>
        </w:rPr>
        <w:t>Corredor 1, Tapajós–Amazônia: prioridade a hidrovia, dragagem contratada com estudo ambiental e acesso rodoviário de manutenção ao porto, no lugar de forçar a Ferrogrão nos dois primeiros anos. A ferrovia só volta à mesa em 2029 se consulta a povos afetados e o licenciamento tiverem sido refeitos e se a conta de emissão e de morte na estrada justificar o traçado. Até lá, não haverá canteiro político.</w:t>
      </w:r>
    </w:p>
    <w:p>
      <w:pPr>
        <w:spacing w:after="160" w:line="269" w:lineRule="auto"/>
      </w:pPr>
      <w:r>
        <w:rPr>
          <w:rFonts w:ascii="Liberation Serif" w:hAnsi="Liberation Serif" w:eastAsia="Liberation Serif"/>
          <w:b/>
          <w:i w:val="0"/>
          <w:color w:val="1C242C"/>
          <w:sz w:val="22"/>
        </w:rPr>
        <w:t xml:space="preserve">Proposta 9.2. </w:t>
      </w:r>
      <w:r>
        <w:rPr>
          <w:rFonts w:ascii="Liberation Serif" w:hAnsi="Liberation Serif" w:eastAsia="Liberation Serif"/>
          <w:b w:val="0"/>
          <w:i w:val="0"/>
          <w:color w:val="1C242C"/>
          <w:sz w:val="22"/>
        </w:rPr>
        <w:t>Corredor 2: concluir gargalos da Ferrovia Norte-Sul que ainda interrompam a ligação útil, depois de auditoria do que está pronto e do que é só terrapleno. Corredor 3: FIOL e Porto Sul apenas se a auditoria de demanda e de contrato, em 2027, fechar sem subsídio oculto; se não fechar, o governo diz não.</w:t>
      </w:r>
    </w:p>
    <w:p>
      <w:pPr>
        <w:spacing w:after="160" w:line="269" w:lineRule="auto"/>
      </w:pPr>
      <w:r>
        <w:rPr>
          <w:rFonts w:ascii="Liberation Serif" w:hAnsi="Liberation Serif" w:eastAsia="Liberation Serif"/>
          <w:b/>
          <w:i w:val="0"/>
          <w:color w:val="1C242C"/>
          <w:sz w:val="22"/>
        </w:rPr>
        <w:t xml:space="preserve">Proposta 9.3. </w:t>
      </w:r>
      <w:r>
        <w:rPr>
          <w:rFonts w:ascii="Liberation Serif" w:hAnsi="Liberation Serif" w:eastAsia="Liberation Serif"/>
          <w:b w:val="0"/>
          <w:i w:val="0"/>
          <w:color w:val="1C242C"/>
          <w:sz w:val="22"/>
        </w:rPr>
        <w:t>Corredor 4: acessos ferroviários curtos ao porto de Santos, por concessão, com o estado de São Paulo. Corredor 5: escoamento do Nordeste já estudado — não uma ferrovia nova desenhada em comício — mais a distribuição da transposição do São Francisco onde o canal existir e a rede de irrigação não. Água de transposição sem ramal é obra pela metade.</w:t>
      </w:r>
    </w:p>
    <w:p>
      <w:pPr>
        <w:spacing w:after="160" w:line="269" w:lineRule="auto"/>
      </w:pPr>
      <w:r>
        <w:rPr>
          <w:rFonts w:ascii="Liberation Serif" w:hAnsi="Liberation Serif" w:eastAsia="Liberation Serif"/>
          <w:b/>
          <w:i w:val="0"/>
          <w:color w:val="1C242C"/>
          <w:sz w:val="22"/>
        </w:rPr>
        <w:t xml:space="preserve">Proposta 9.4. </w:t>
      </w:r>
      <w:r>
        <w:rPr>
          <w:rFonts w:ascii="Liberation Serif" w:hAnsi="Liberation Serif" w:eastAsia="Liberation Serif"/>
          <w:b w:val="0"/>
          <w:i w:val="0"/>
          <w:color w:val="1C242C"/>
          <w:sz w:val="22"/>
        </w:rPr>
        <w:t>Mobilidade: o orçamento federal voluntário de transporte urbano só entra em metrô, VLT ou BRT com projeto executivo, licença e contrapartida. Não financia estádio, passeio nem teleférico sem demanda medida.</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Concessão e PPP são lei existente, mais edital. Dizer não à Ferrogrão no biênio é decisão de governo, não emenda. Completar ferrovia pode exigir verba na lei orçamentária e acordo com o Tribunal de Contas sobre contrato heredado. Tudo isso é federal onde a infraestrutura for federal, e compartilhado onde o porto ou o metrô forem de estado.</w:t>
      </w:r>
    </w:p>
    <w:p>
      <w:pPr>
        <w:pStyle w:val="Heading2"/>
      </w:pPr>
      <w:r>
        <w:t>5. Prazo</w:t>
      </w:r>
    </w:p>
    <w:p>
      <w:pPr>
        <w:spacing w:after="160" w:line="269" w:lineRule="auto"/>
      </w:pPr>
      <w:r>
        <w:rPr>
          <w:rFonts w:ascii="Liberation Serif" w:hAnsi="Liberation Serif" w:eastAsia="Liberation Serif"/>
          <w:b w:val="0"/>
          <w:i w:val="0"/>
          <w:color w:val="1C242C"/>
          <w:sz w:val="22"/>
        </w:rPr>
        <w:t>Auditoria dos cinco corredores no primeiro ano. Editais ou arquivamentos até 2029. Nenhum corredor «em estudo» pode permanecer assim em discurso depois dessa data sem uma página pública de motivo.</w:t>
      </w:r>
    </w:p>
    <w:p>
      <w:pPr>
        <w:pStyle w:val="Heading2"/>
      </w:pPr>
      <w:r>
        <w:t>6. Custo ou impacto fiscal</w:t>
      </w:r>
    </w:p>
    <w:p>
      <w:pPr>
        <w:spacing w:after="160" w:line="269" w:lineRule="auto"/>
      </w:pPr>
      <w:r>
        <w:rPr>
          <w:rFonts w:ascii="Liberation Serif" w:hAnsi="Liberation Serif" w:eastAsia="Liberation Serif"/>
          <w:b w:val="0"/>
          <w:i w:val="0"/>
          <w:color w:val="1C242C"/>
          <w:sz w:val="22"/>
        </w:rPr>
        <w:t>O grosso é capital privado. Aporte público contingente, somado, não deve passar de cerca de 0,15% do PIB por ano no pico, e só com a trava fiscal. Dragagem e manutenção rodoviária de acesso são o mínimo que começa mesmo sem a escala cheia, dentro do orçamento de transporte já existente, reordenado — o que significa abandonar obra espalhada sem ficha.</w:t>
      </w:r>
    </w:p>
    <w:p>
      <w:pPr>
        <w:pStyle w:val="Heading2"/>
      </w:pPr>
      <w:r>
        <w:t>7. Fonte de financiamento</w:t>
      </w:r>
    </w:p>
    <w:p>
      <w:pPr>
        <w:spacing w:after="160" w:line="269" w:lineRule="auto"/>
      </w:pPr>
      <w:r>
        <w:rPr>
          <w:rFonts w:ascii="Liberation Serif" w:hAnsi="Liberation Serif" w:eastAsia="Liberation Serif"/>
          <w:b w:val="0"/>
          <w:i w:val="0"/>
          <w:color w:val="1C242C"/>
          <w:sz w:val="22"/>
        </w:rPr>
        <w:t>Outorga, tarifa, debênture de infraestrutura e Tesouro apenas no trecho que a tarifa não paga e que o estudo social justificar. Sem crédito subsidiado de banco público fora do orçamento.</w:t>
      </w:r>
    </w:p>
    <w:p>
      <w:pPr>
        <w:pStyle w:val="Heading2"/>
      </w:pPr>
      <w:r>
        <w:t>8. Indicador de sucesso</w:t>
      </w:r>
    </w:p>
    <w:p>
      <w:pPr>
        <w:spacing w:after="160" w:line="269" w:lineRule="auto"/>
      </w:pPr>
      <w:r>
        <w:rPr>
          <w:rFonts w:ascii="Liberation Serif" w:hAnsi="Liberation Serif" w:eastAsia="Liberation Serif"/>
          <w:b w:val="0"/>
          <w:i w:val="0"/>
          <w:color w:val="1C242C"/>
          <w:sz w:val="22"/>
        </w:rPr>
        <w:t>Participação de ferrovia e hidrovia na carga geral, série do Ministério dos Transportes, em alta até 2030. Tempo de acesso rodoviário aos terminais escolhidos. Número de corredores com decisão tomada. Mortes em rodovia federal nos trechos de acesso duplicados ou mantidos, em queda — obra logística também se mede em corpo.</w:t>
      </w:r>
    </w:p>
    <w:p>
      <w:pPr>
        <w:pStyle w:val="Heading2"/>
      </w:pPr>
      <w:r>
        <w:t>9. Riscos e dificuldades</w:t>
      </w:r>
    </w:p>
    <w:p>
      <w:pPr>
        <w:spacing w:after="160" w:line="269" w:lineRule="auto"/>
      </w:pPr>
      <w:r>
        <w:rPr>
          <w:rFonts w:ascii="Liberation Serif" w:hAnsi="Liberation Serif" w:eastAsia="Liberation Serif"/>
          <w:b w:val="0"/>
          <w:i w:val="0"/>
          <w:color w:val="1C242C"/>
          <w:sz w:val="22"/>
        </w:rPr>
        <w:t>Dizer não à Ferrogrão custa apoio político no Centro-Oeste e no Pará. Dizer sim sem licença custa tribunal e floresta. O calendário de 2029 é a forma de não transformar a dúvida em paralisia eterna nem em fita antecipada. Concessão pode falhar se o edital mentir a demanda: a auditoria prévia é inegociável, e ainda assim pode errar.</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Estrada estadual e ônibus urbano não são do presidente. A União condiciona dinheiro voluntário e opera a malha federal. Governador que quiser bandeira de metrô sem projeto não terá a bandeira financiada.</w:t>
      </w:r>
    </w:p>
    <w:p>
      <w:pPr>
        <w:pStyle w:val="Heading1"/>
      </w:pPr>
      <w:r>
        <w:t>Eixo 10 — Energia e recursos naturais</w:t>
      </w:r>
    </w:p>
    <w:p>
      <w:pPr>
        <w:pStyle w:val="Heading2"/>
      </w:pPr>
      <w:r>
        <w:t>1. Diagnóstico</w:t>
      </w:r>
    </w:p>
    <w:p>
      <w:pPr>
        <w:spacing w:after="160" w:line="269" w:lineRule="auto"/>
      </w:pPr>
      <w:r>
        <w:rPr>
          <w:rFonts w:ascii="Liberation Serif" w:hAnsi="Liberation Serif" w:eastAsia="Liberation Serif"/>
          <w:b w:val="0"/>
          <w:i w:val="0"/>
          <w:color w:val="1C242C"/>
          <w:sz w:val="22"/>
        </w:rPr>
        <w:t>O Brasil é potência em hidroeletricidade, cresce em eólica e solar, e produz petróleo relevante — a extrativa ajudou a indústria em 2025. A transmissão, não a placa isolada, é o gargalo típico da renovável. O nuclear civil está incompleto. A margem equatorial é objeto de disputa entre licenciamento e pressa política. Mineração critica o mundo e o país, e também critica terra indígena quando alguém sugere abri-la. O programa separa essas decisões em vez de dissolvê-las num «equilíbrio».</w:t>
      </w:r>
    </w:p>
    <w:p>
      <w:pPr>
        <w:pStyle w:val="Heading2"/>
      </w:pPr>
      <w:r>
        <w:t>2. Objetivo político</w:t>
      </w:r>
    </w:p>
    <w:p>
      <w:pPr>
        <w:spacing w:after="160" w:line="269" w:lineRule="auto"/>
      </w:pPr>
      <w:r>
        <w:rPr>
          <w:rFonts w:ascii="Liberation Serif" w:hAnsi="Liberation Serif" w:eastAsia="Liberation Serif"/>
          <w:b w:val="0"/>
          <w:i w:val="0"/>
          <w:color w:val="1C242C"/>
          <w:sz w:val="22"/>
        </w:rPr>
        <w:t>Segurança energética sem rombo tarifário e sem telefonema sobre licença. Nuclear com teto. Óleo onde o órgão ambiental disser sim, e em nenhum lugar onde disser não. Renovável conectada à rede. Nenhuma mineração em terra indígena.</w:t>
      </w:r>
    </w:p>
    <w:p>
      <w:pPr>
        <w:pStyle w:val="Heading2"/>
      </w:pPr>
      <w:r>
        <w:t>3. Propostas concretas</w:t>
      </w:r>
    </w:p>
    <w:p>
      <w:pPr>
        <w:spacing w:after="160" w:line="269" w:lineRule="auto"/>
      </w:pPr>
      <w:r>
        <w:rPr>
          <w:rFonts w:ascii="Liberation Serif" w:hAnsi="Liberation Serif" w:eastAsia="Liberation Serif"/>
          <w:b/>
          <w:i w:val="0"/>
          <w:color w:val="1C242C"/>
          <w:sz w:val="22"/>
        </w:rPr>
        <w:t xml:space="preserve">Proposta 10.1. </w:t>
      </w:r>
      <w:r>
        <w:rPr>
          <w:rFonts w:ascii="Liberation Serif" w:hAnsi="Liberation Serif" w:eastAsia="Liberation Serif"/>
          <w:b w:val="0"/>
          <w:i w:val="0"/>
          <w:color w:val="1C242C"/>
          <w:sz w:val="22"/>
        </w:rPr>
        <w:t>Angra 3: nos primeiros seis meses, auditoria independente com acompanhamento do TCU define teto real e ponto de não retorno. Abaixo do teto, a obra anda com cronograma público. Estouro superior a 25% antes desse ponto encerra o projeto. Não haverá decisão de nova grande usina nuclear antes de 2029. Estudo de reator modular fica no papel, em instituição pública, sem encomenda de canteiro.</w:t>
      </w:r>
    </w:p>
    <w:p>
      <w:pPr>
        <w:spacing w:after="160" w:line="269" w:lineRule="auto"/>
      </w:pPr>
      <w:r>
        <w:rPr>
          <w:rFonts w:ascii="Liberation Serif" w:hAnsi="Liberation Serif" w:eastAsia="Liberation Serif"/>
          <w:b/>
          <w:i w:val="0"/>
          <w:color w:val="1C242C"/>
          <w:sz w:val="22"/>
        </w:rPr>
        <w:t xml:space="preserve">Proposta 10.2. </w:t>
      </w:r>
      <w:r>
        <w:rPr>
          <w:rFonts w:ascii="Liberation Serif" w:hAnsi="Liberation Serif" w:eastAsia="Liberation Serif"/>
          <w:b w:val="0"/>
          <w:i w:val="0"/>
          <w:color w:val="1C242C"/>
          <w:sz w:val="22"/>
        </w:rPr>
        <w:t>Margem equatorial e blocos sensíveis: a ANP pode estudar e o Ibama decide no mérito técnico. O presidente não determinará aprovação nem rejeição. Se a licença sair, a exploração obedece a condição. Se não sair, o governo não troca o presidente do órgão para fazer sair.</w:t>
      </w:r>
    </w:p>
    <w:p>
      <w:pPr>
        <w:spacing w:after="160" w:line="269" w:lineRule="auto"/>
      </w:pPr>
      <w:r>
        <w:rPr>
          <w:rFonts w:ascii="Liberation Serif" w:hAnsi="Liberation Serif" w:eastAsia="Liberation Serif"/>
          <w:b/>
          <w:i w:val="0"/>
          <w:color w:val="1C242C"/>
          <w:sz w:val="22"/>
        </w:rPr>
        <w:t xml:space="preserve">Proposta 10.3. </w:t>
      </w:r>
      <w:r>
        <w:rPr>
          <w:rFonts w:ascii="Liberation Serif" w:hAnsi="Liberation Serif" w:eastAsia="Liberation Serif"/>
          <w:b w:val="0"/>
          <w:i w:val="0"/>
          <w:color w:val="1C242C"/>
          <w:sz w:val="22"/>
        </w:rPr>
        <w:t>Transmissão: manter leilões e priorizar as linhas que conectam renovável já contratada e que reduzem restrição de geração. Térmica a gás permanece como backup de ponta, não como base permanente subvencionada.</w:t>
      </w:r>
    </w:p>
    <w:p>
      <w:pPr>
        <w:spacing w:after="160" w:line="269" w:lineRule="auto"/>
      </w:pPr>
      <w:r>
        <w:rPr>
          <w:rFonts w:ascii="Liberation Serif" w:hAnsi="Liberation Serif" w:eastAsia="Liberation Serif"/>
          <w:b/>
          <w:i w:val="0"/>
          <w:color w:val="1C242C"/>
          <w:sz w:val="22"/>
        </w:rPr>
        <w:t xml:space="preserve">Proposta 10.4. </w:t>
      </w:r>
      <w:r>
        <w:rPr>
          <w:rFonts w:ascii="Liberation Serif" w:hAnsi="Liberation Serif" w:eastAsia="Liberation Serif"/>
          <w:b w:val="0"/>
          <w:i w:val="0"/>
          <w:color w:val="1C242C"/>
          <w:sz w:val="22"/>
        </w:rPr>
        <w:t>Petrobras continua empresa de economia mista, com governança e diretoria técnica, sem congelamento político permanente de preço e sem ordem de investir onde o custo de capital não fechar. Conteúdo local será realista, medido em prática de fornecimento, não em percentual de vitrine que atrasa plataforma. Participação da União na renda do pré-sal segue a lei; a parte federal não será totalmente consumida em gasto corrente: uma fração definida na lei orçamentária, modesta e explícita, vai ao fundo de produtividade dos corredores quando a trava fiscal permitir.</w:t>
      </w:r>
    </w:p>
    <w:p>
      <w:pPr>
        <w:pStyle w:val="Heading2"/>
      </w:pPr>
      <w:r>
        <w:t>4. Instrumento de implementação</w:t>
      </w:r>
    </w:p>
    <w:p>
      <w:pPr>
        <w:spacing w:after="160" w:line="269" w:lineRule="auto"/>
      </w:pPr>
      <w:r>
        <w:rPr>
          <w:rFonts w:ascii="Liberation Serif" w:hAnsi="Liberation Serif" w:eastAsia="Liberation Serif"/>
          <w:b w:val="0"/>
          <w:i w:val="0"/>
          <w:color w:val="1C242C"/>
          <w:sz w:val="22"/>
        </w:rPr>
        <w:t>Angra 3 é decisão de governo e de orçamento da estatal do setor nuclear, com o Congresso se houver aporte. Licenciamento é ato do Ibama. Leilão de transmissão é atribuição federal já existente. Mudança de governança da Petrobras que exija lei será enviada; o que for estatuto e indicação, o acionista controlador faz, sob a lei das estatais.</w:t>
      </w:r>
    </w:p>
    <w:p>
      <w:pPr>
        <w:pStyle w:val="Heading2"/>
      </w:pPr>
      <w:r>
        <w:t>5. Prazo</w:t>
      </w:r>
    </w:p>
    <w:p>
      <w:pPr>
        <w:spacing w:after="160" w:line="269" w:lineRule="auto"/>
      </w:pPr>
      <w:r>
        <w:rPr>
          <w:rFonts w:ascii="Liberation Serif" w:hAnsi="Liberation Serif" w:eastAsia="Liberation Serif"/>
          <w:b w:val="0"/>
          <w:i w:val="0"/>
          <w:color w:val="1C242C"/>
          <w:sz w:val="22"/>
        </w:rPr>
        <w:t>Auditoria de Angra 3 no primeiro semestre de 2027. Decisão de continuar ou parar no segundo semestre. Estudos de margem equatorial no tempo do Ibama, sem prazo político. Nenhuma usina nuclear nova licitada no mandato, além da decisão sobre Angra 3.</w:t>
      </w:r>
    </w:p>
    <w:p>
      <w:pPr>
        <w:pStyle w:val="Heading2"/>
      </w:pPr>
      <w:r>
        <w:t>6. Custo ou impacto fiscal</w:t>
      </w:r>
    </w:p>
    <w:p>
      <w:pPr>
        <w:spacing w:after="160" w:line="269" w:lineRule="auto"/>
      </w:pPr>
      <w:r>
        <w:rPr>
          <w:rFonts w:ascii="Liberation Serif" w:hAnsi="Liberation Serif" w:eastAsia="Liberation Serif"/>
          <w:b w:val="0"/>
          <w:i w:val="0"/>
          <w:color w:val="1C242C"/>
          <w:sz w:val="22"/>
        </w:rPr>
        <w:t>Angra 3 já tem custo afundado e custo futuro incerto: exatamente por isso o teto vem antes da fita. O programa não publica um valor de conclusão que não auditou. Transmissão se paga na tarifa. Estudo modular é despesa de pesquisa, pequena, dentro do eixo de ciência.</w:t>
      </w:r>
    </w:p>
    <w:p>
      <w:pPr>
        <w:pStyle w:val="Heading2"/>
      </w:pPr>
      <w:r>
        <w:t>7. Fonte de financiamento</w:t>
      </w:r>
    </w:p>
    <w:p>
      <w:pPr>
        <w:spacing w:after="160" w:line="269" w:lineRule="auto"/>
      </w:pPr>
      <w:r>
        <w:rPr>
          <w:rFonts w:ascii="Liberation Serif" w:hAnsi="Liberation Serif" w:eastAsia="Liberation Serif"/>
          <w:b w:val="0"/>
          <w:i w:val="0"/>
          <w:color w:val="1C242C"/>
          <w:sz w:val="22"/>
        </w:rPr>
        <w:t>Tarifa, capital da empresa e, somente com teto e auditoria, aporte público explicitado. Sem encargo escondido na conta de luz para inauguração.</w:t>
      </w:r>
    </w:p>
    <w:p>
      <w:pPr>
        <w:pStyle w:val="Heading2"/>
      </w:pPr>
      <w:r>
        <w:t>8. Indicador de sucesso</w:t>
      </w:r>
    </w:p>
    <w:p>
      <w:pPr>
        <w:spacing w:after="160" w:line="269" w:lineRule="auto"/>
      </w:pPr>
      <w:r>
        <w:rPr>
          <w:rFonts w:ascii="Liberation Serif" w:hAnsi="Liberation Serif" w:eastAsia="Liberation Serif"/>
          <w:b w:val="0"/>
          <w:i w:val="0"/>
          <w:color w:val="1C242C"/>
          <w:sz w:val="22"/>
        </w:rPr>
        <w:t>Decisão publicada sobre Angra 3 com custo auditado. Geração renovável cortada por falta de rede, em queda. Preço de combustível sem defasagem artificial prolongada — a série será mostrada, e o governo aceitará a crítica quando segurar preço além do colchão de caixa que a diretoria técnica recomendar. Zero título minerário novo em terra indígena.</w:t>
      </w:r>
    </w:p>
    <w:p>
      <w:pPr>
        <w:pStyle w:val="Heading2"/>
      </w:pPr>
      <w:r>
        <w:t>9. Riscos e dificuldades</w:t>
      </w:r>
    </w:p>
    <w:p>
      <w:pPr>
        <w:spacing w:after="160" w:line="269" w:lineRule="auto"/>
      </w:pPr>
      <w:r>
        <w:rPr>
          <w:rFonts w:ascii="Liberation Serif" w:hAnsi="Liberation Serif" w:eastAsia="Liberation Serif"/>
          <w:b w:val="0"/>
          <w:i w:val="0"/>
          <w:color w:val="1C242C"/>
          <w:sz w:val="22"/>
        </w:rPr>
        <w:t>Parar Angra 3 tem custo político e custo afundado. Continuar sem teto tem custo tarifário por década. As duas críticas virão; o programa escolhe a segunda só se o número couber. Licença da margem equatorial descontentará um dos lados de qualquer modo. Esse descontentamento é preferível à captura do Ibama.</w:t>
      </w:r>
    </w:p>
    <w:p>
      <w:pPr>
        <w:pStyle w:val="Heading2"/>
      </w:pPr>
      <w:r>
        <w:t>Competência: o que o presidente pode e o que não pode</w:t>
      </w:r>
    </w:p>
    <w:p>
      <w:pPr>
        <w:spacing w:after="160" w:line="269" w:lineRule="auto"/>
      </w:pPr>
      <w:r>
        <w:rPr>
          <w:rFonts w:ascii="Liberation Serif" w:hAnsi="Liberation Serif" w:eastAsia="Liberation Serif"/>
          <w:b w:val="0"/>
          <w:i w:val="0"/>
          <w:color w:val="1C242C"/>
          <w:sz w:val="22"/>
        </w:rPr>
        <w:t>Política energética é fortemente federal. Distribuição de gás canalizado e taxa local não são. O presidente não fixa o preço da gasolina por live. Meio ambiente federal licencia o que for de competência federal; estado licencia o resto, sem aval de palácio.</w:t>
      </w:r>
    </w:p>
    <w:p>
      <w:pPr>
        <w:spacing w:after="160" w:line="269" w:lineRule="auto"/>
      </w:pPr>
      <w:r>
        <w:rPr>
          <w:rFonts w:ascii="Liberation Serif" w:hAnsi="Liberation Serif" w:eastAsia="Liberation Serif"/>
          <w:b w:val="0"/>
          <w:i w:val="0"/>
          <w:color w:val="1C242C"/>
          <w:sz w:val="22"/>
        </w:rPr>
        <w:t>Os eixos 11 a 20 — agro e ambiente, cidades, previdência, ciência, Estado, cultura, direitos, regiões, comércio e reforma política — estão no volume 06, com a mesma trava fiscal e os mesmos números deste diagnóstico.</w:t>
      </w:r>
    </w:p>
    <w:sectPr w:rsidR="00FC693F" w:rsidRPr="0006063C" w:rsidSect="00034616">
      <w:headerReference w:type="default" r:id="rId9"/>
      <w:footerReference w:type="default" r:id="rId10"/>
      <w:headerReference w:type="first" r:id="rId11"/>
      <w:footerReference w:type="first" r:id="rId12"/>
      <w:pgSz w:w="11906" w:h="16838"/>
      <w:pgMar w:top="1247" w:right="1020" w:bottom="1134" w:left="1020"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8" w:space="1" w:color="C4622D"/>
      </w:pBdr>
    </w:pPr>
    <w:r>
      <w:rPr>
        <w:rFonts w:ascii="Liberation Sans" w:hAnsi="Liberation Sans" w:eastAsia="Liberation Sans"/>
        <w:b w:val="0"/>
        <w:i w:val="0"/>
        <w:color w:val="4A5560"/>
        <w:sz w:val="18"/>
      </w:rPr>
      <w:t xml:space="preserve">Simulação política  ·  sem registro no TSE  ·  página </w:t>
    </w:r>
    <w:r>
      <w:rPr>
        <w:rFonts w:ascii="Liberation Sans" w:hAnsi="Liberation Sans" w:eastAsia="Liberation Sans"/>
        <w:b w:val="0"/>
        <w:i w:val="0"/>
        <w:color w:val="4A5560"/>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b w:val="0"/>
        <w:i w:val="0"/>
        <w:color w:val="4A5560"/>
        <w:sz w:val="18"/>
      </w:rPr>
      <w:t xml:space="preserve">Peça fictícia da simulação  ·  página </w:t>
    </w:r>
    <w:r>
      <w:rPr>
        <w:rFonts w:ascii="Liberation Sans" w:hAnsi="Liberation Sans" w:eastAsia="Liberation Sans"/>
        <w:b w:val="0"/>
        <w:i w:val="0"/>
        <w:color w:val="4A55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C4622D"/>
        <w:sz w:val="16"/>
      </w:rPr>
      <w:t>CANDIDATURA FICTÍCIA  ·  ELEIÇÕES PRESIDENCIAIS DAS IAs  ·  BRASIL 2026</w:t>
    </w:r>
  </w:p>
  <w:p>
    <w:pPr>
      <w:pBdr>
        <w:bottom w:val="single" w:sz="12" w:space="1" w:color="0B1F33"/>
      </w:pBdr>
    </w:pPr>
    <w:r>
      <w:rPr>
        <w:rFonts w:ascii="Liberation Sans" w:hAnsi="Liberation Sans" w:eastAsia="Liberation Sans"/>
        <w:b w:val="0"/>
        <w:i w:val="0"/>
        <w:color w:val="0B1F33"/>
        <w:sz w:val="16"/>
      </w:rPr>
      <w:t>Elias Monteiro Viana  ·  Aliança do Trabalho e da Regra (ATR)  ·  mandato hipotético 2027–2030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eastAsia="Liberation Serif"/>
      <w:color w:val="1C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Liberation Sans" w:hAnsi="Liberation Sans" w:eastAsia="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eastAsia="Liberation Sans"/>
      <w:b/>
      <w:bCs/>
      <w:color w:val="0B1F33"/>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Liberation Sans" w:hAnsi="Liberation Sans" w:eastAsia="Liberation Sans"/>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Plano de governo 2027–2030, eixos 1 a 10</dc:title>
  <dc:subject/>
  <dc:creator>Elias Monteiro Viana — candidatura fictícia</dc:creator>
  <cp:keywords/>
  <dc:description>Candidatura fictícia. Sem registro no TSE. Não é propaganda real.</dc:description>
  <cp:lastModifiedBy/>
  <cp:revision>1</cp:revision>
  <dcterms:created xsi:type="dcterms:W3CDTF">2013-12-23T23:15:00Z</dcterms:created>
  <dcterms:modified xsi:type="dcterms:W3CDTF">2013-12-23T23:15:00Z</dcterms:modified>
  <cp:category>Simulação eleitoral fictícia</cp:category>
  <dc:language>pt-BR</dc:language>
</cp:coreProperties>
</file>