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rFonts w:ascii="Liberation Sans" w:hAnsi="Liberation Sans" w:eastAsia="Liberation Sans"/>
          <w:b/>
          <w:i w:val="0"/>
          <w:color w:val="C4622D"/>
          <w:sz w:val="22"/>
        </w:rPr>
        <w:t>REGISTRO DE CANDIDATURA</w:t>
      </w:r>
    </w:p>
    <w:p>
      <w:r>
        <w:rPr>
          <w:rFonts w:ascii="Liberation Sans" w:hAnsi="Liberation Sans" w:eastAsia="Liberation Sans"/>
          <w:b/>
          <w:i w:val="0"/>
          <w:color w:val="0B1F33"/>
          <w:sz w:val="26"/>
        </w:rPr>
        <w:t>ELEIÇÕES PRESIDENCIAIS DAS IAs — BRASIL 2026</w:t>
      </w:r>
    </w:p>
    <w:p>
      <w:pPr>
        <w:spacing w:before="200"/>
      </w:pPr>
      <w:r>
        <w:rPr>
          <w:rFonts w:ascii="Liberation Sans" w:hAnsi="Liberation Sans" w:eastAsia="Liberation Sans"/>
          <w:b/>
          <w:i w:val="0"/>
          <w:color w:val="C4622D"/>
          <w:sz w:val="20"/>
        </w:rPr>
        <w:t>VOLUME 09</w:t>
      </w:r>
    </w:p>
    <w:p>
      <w:pPr>
        <w:spacing w:before="80" w:after="120"/>
      </w:pPr>
      <w:r>
        <w:rPr>
          <w:rFonts w:ascii="Liberation Sans" w:hAnsi="Liberation Sans" w:eastAsia="Liberation Sans"/>
          <w:b/>
          <w:i w:val="0"/>
          <w:color w:val="0B1F33"/>
          <w:sz w:val="44"/>
        </w:rPr>
        <w:t>Vinte e cinco promessas, plano fiscal e modo de governar</w:t>
      </w:r>
    </w:p>
    <w:p>
      <w:r>
        <w:rPr>
          <w:rFonts w:ascii="Liberation Serif" w:hAnsi="Liberation Serif" w:eastAsia="Liberation Serif"/>
          <w:b w:val="0"/>
          <w:i/>
          <w:color w:val="1C242C"/>
          <w:sz w:val="24"/>
        </w:rPr>
        <w:t>Probabilidade nenhuma é 100%. Dinheiro nenhum é infinito. Minoria de 8% não vira maioria por retórica.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Candidato fictício: Elias Monteiro Viana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Vice fictícia: Lúcia Fernanda Okamoto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Partido fictício: Aliança do Trabalho e da Regra — ATR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Ideologia: desenvolvimentismo de regras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Cargo simulado: Presidente da República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Mandato hipotético: 1º de janeiro de 2027 a 31 de dezembro de 2030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Data-base do diagnóstico: 20 de outubro de 2026</w:t>
      </w:r>
    </w:p>
    <w:p>
      <w:pPr>
        <w:spacing w:after="20" w:before="0"/>
      </w:pPr>
      <w:r>
        <w:rPr>
          <w:rFonts w:ascii="Liberation Sans" w:hAnsi="Liberation Sans" w:eastAsia="Liberation Sans"/>
          <w:b w:val="0"/>
          <w:i w:val="0"/>
          <w:color w:val="0B1F33"/>
          <w:sz w:val="22"/>
        </w:rPr>
        <w:t>Slogan: O Brasil no trilho.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EBDD" w:val="clear"/>
          </w:tcPr>
          <w:p>
            <w:pPr>
              <w:spacing w:after="40"/>
            </w:pPr>
            <w:r/>
            <w:r>
              <w:rPr>
                <w:rFonts w:ascii="Liberation Sans" w:hAnsi="Liberation Sans" w:eastAsia="Liberation Sans"/>
                <w:b w:val="0"/>
                <w:i w:val="0"/>
                <w:color w:val="0B1F33"/>
                <w:sz w:val="18"/>
              </w:rPr>
              <w:t>Documento fictício da simulação Eleições Presidenciais das Inteligências Artificiais — Brasil 2026. Não é candidatura real, não é propaganda eleitoral, não possui registro no TSE e não representa partido, governo, empresa ou pessoa existente. Todos os cargos, mandatos e realizações atribuídos ao candidato e à vice são inventados para o experimento.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As 25 promessas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A probabilidade é juízo político do próprio programa sobre a chance de cumprir o indicador no prazo, não pesquisa. Ela já desconta o Congresso hostil, o federalismo e o erro de execução. Promessa de ato próprio do Executivo tem probabilidade maior do que promessa que é emenda constitucional.</w:t>
      </w:r>
    </w:p>
    <w:p>
      <w:pPr>
        <w:pStyle w:val="Heading2"/>
      </w:pPr>
      <w:r>
        <w:t>Primeiros 100 dias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</w:trPr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Promessa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Resultado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Medida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Custo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Indicador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Prob.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Lista pública de renúncias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Cada favor fiscal federal com valor, beneficiário-tipo e responsável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Ato da Receita e da Fazenda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Administrativo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Lista no Diário Oficial em 60 dias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75% — depende de dado interno, não de voto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2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Sala de homicídio e feminicídio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Estados na mesma mesa, série semanal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Decreto e convite; adesão é voluntária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Baixo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Pelo menos 20 UFs alimentando a série em 100 dias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60% — governador pode recusar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3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Linha de base do SUS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Fila medida ou confissão de que o painel não existe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Portaria; CGU amostra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Baixo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Documento público com procedimento e espera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70%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4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Prazo de licença de baixo risco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Relógio correndo no Ibama federal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Decreto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Baixo; custa gente depois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Decreto publicado e fila classificada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80%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5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Auditoria de Angra 3 contratada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Teto em construção, não em slogan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Contrato com acompanhamento do TCU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Dezenas de milhões, não ponto de PIB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Contrato assinado e escopo público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75%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6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Diretriz ao Itamaraty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Embaixada sabe o voto-tipo dos conflitos do volume 07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Instrução presidencial escrita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Nulo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Telegrama-síntese publicado em versão ostensiva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90%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7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PEC da não reeleição protocolada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Texto no Congresso, eficácia só para o futuro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Mensagem presidencial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Nulo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Número de protocolo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70% o protocolo; 25% a promulgação, que não é promessa destes 100 dias</w:t>
            </w:r>
          </w:p>
        </w:tc>
      </w:tr>
    </w:tbl>
    <w:p>
      <w:pPr>
        <w:spacing w:after="120"/>
      </w:pPr>
    </w:p>
    <w:p>
      <w:pPr>
        <w:pStyle w:val="Heading2"/>
      </w:pPr>
      <w:r>
        <w:t>Primeiro ano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</w:trPr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Promessa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Resultado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Medida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Custo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Indicador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Prob.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8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Projeto de revisão das renúncias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Caducidade de 4 anos e meta de 0,4 p.p. do PIB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Arrecada se passar; não custa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Projeto com exposição de motivos e lista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65% o envio; 40% a aprovação no mandato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9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Estatuto da plataforma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Previdência e recurso sem vínculo automático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Fiscalização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 sancionada ou veto fundamentado a texto inaproveitável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45% a lei; 80% o projeto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10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Comitê de investimento sensível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Lista fechada de setores, prazo de decisão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Servidores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 ou, na falta, decreto limitado ao que já for competência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50%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11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Regra de inteligência artificial por risco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Sem licença prévia de modelo geral; recurso em alto risco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Autoridade já existente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Texto aprovado ou corrigido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45%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12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Fundo de segurança com câmera e separação de facção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Dinheiro só para quem filma e separa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 e convênio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Piloto no orçamento atual; escala de 0,08% do PIB só com trava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Pelo menos 5 UFs aderentes em 2028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55% o piloto; 35% a escala cheia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13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Contrato de resultado dos Correios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Meta de caixa e serviço, sem venda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Contrato de direção e plano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Depende do buraco herdado, explicitado em 90 dias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Contrato publicado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70%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14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Posição escrita Mercosul–UE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Sim ou não com o texto real da mesa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Nota do Itamaraty e mensagem ao Congresso se houver acordo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Nulo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Documento público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80% a posição; a ratificação não é só brasileira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15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Piloto de alfabetizadores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Rede pior do Ideb com professor extra de dedicação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 ou Medida Provisória com fonte no piloto, não na escala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Fração de 0,15% do PIB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Piloto em sala em 2027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60%</w:t>
            </w:r>
          </w:p>
        </w:tc>
      </w:tr>
    </w:tbl>
    <w:p>
      <w:pPr>
        <w:spacing w:after="120"/>
      </w:pPr>
    </w:p>
    <w:p>
      <w:pPr>
        <w:pStyle w:val="Heading2"/>
      </w:pPr>
      <w:r>
        <w:t>Segundo e terceiro anos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</w:trPr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Promessa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Resultado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Medida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Custo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Indicador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Prob.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16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Avaliação censitária do 2º ano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Leitura medida de verdade em 2028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 curta e Inep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Dentro do bloco de educação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Microdado disponível ao gestor e índice municipal público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65%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17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Decisão de Angra 3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Obra com teto ou canteiro parado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Ato com o TCU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O teto auditado, ou o custo de parar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Decisão motivada publicada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70% decidir; 40% concluir a obra dentro do teto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18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Cannabis adulta licenciada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Varejo com selo, sem venda a menor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Lei, com cláusula de reversão em 24 meses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Receita incerta, não contada no fisco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 e primeira licença, ou arquivamento explícito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35%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19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Tabela SUS dos grupos de maior fila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Preço mais perto do custo, impacto orçado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Portaria com lastro na LOA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Até 0,10% do PIB só com trava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Tabela nova publicada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50%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20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Cadastro ambiental: estoque de validação em queda forte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Produtor legal com papel; embargo sem crédito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Convênio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Dentro de 0,05% do PIB ambiental na escala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Percentual validado publicado por UF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55%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21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Cinco corredores com decisão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Contrato ou arquivamento motivado até 2029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Edital ou nota técnica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Privado na maior parte; público contingente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Cinco dossiês fechados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50%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22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Folha menor, se a renúncia compensar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Até 2 p.p. na faixa da base, ou nada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Lei tributária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0,20% do PIB só se houver fonte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Alíquota publicada contra a compensação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40%</w:t>
            </w:r>
          </w:p>
        </w:tc>
      </w:tr>
    </w:tbl>
    <w:p>
      <w:pPr>
        <w:spacing w:after="120"/>
      </w:pPr>
    </w:p>
    <w:p>
      <w:pPr>
        <w:pStyle w:val="Heading2"/>
      </w:pPr>
      <w:r>
        <w:t>Quarto ano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</w:trPr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Promessa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Resultado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Medida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Custo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Indicador</w:t>
            </w:r>
          </w:p>
        </w:tc>
        <w:tc>
          <w:tcPr>
            <w:tcW w:type="dxa" w:w="140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5"/>
              </w:rPr>
              <w:t>Prob.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23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Superávit primário de 0,5% do PIB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Governo central no positivo combinado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Execução e leis do eixo 2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O ajuste inteiro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Resultado abaixo da linha do BC, sem despesa fora da conta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35% — acima do que o Focus de out/2026 sugeria</w:t>
            </w:r>
          </w:p>
        </w:tc>
      </w:tr>
      <w:tr>
        <w:trPr>
          <w:cantSplit/>
        </w:trPr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24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Informalidade abaixo de 34%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Queda sem queda do emprego total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Estatuto, licença, folha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Ver eixo 3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PNAD</w:t>
            </w:r>
          </w:p>
        </w:tc>
        <w:tc>
          <w:tcPr>
            <w:tcW w:type="dxa" w:w="140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40%</w:t>
            </w:r>
          </w:p>
        </w:tc>
      </w:tr>
      <w:tr>
        <w:trPr>
          <w:cantSplit/>
        </w:trPr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25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Feminicídio abaixo de 1.571 e mortes violentas abaixo de 17 por 100 mil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Curva de 2025 quebrada nos dois sentidos certos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Fundo, tornozeleira, investigação; polícia é estadual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Eixo 6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Anuário e DataSUS concordando na direção</w:t>
            </w:r>
          </w:p>
        </w:tc>
        <w:tc>
          <w:tcPr>
            <w:tcW w:type="dxa" w:w="140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5"/>
              </w:rPr>
              <w:t>45% a taxa de mortes violentas; 40% o feminicídio</w:t>
            </w:r>
          </w:p>
        </w:tc>
      </w:tr>
    </w:tbl>
    <w:p>
      <w:pPr>
        <w:spacing w:after="120"/>
      </w:pP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Nenhuma promessa acima depende de crescimento de 4% ao ano, de maioria parlamentar própria ou de paz mundial. As de número 7 (promulgação), 8 (aprovação), 18 e 23 são as mais frágeis. Se caírem, o mandato não se declara cumprido por terem sido «difíceis». Declara o que fez na parte executiva e o que o Congresso recusou, com número de voto.</w:t>
      </w:r>
    </w:p>
    <w:p>
      <w:pPr>
        <w:pStyle w:val="Heading1"/>
      </w:pPr>
      <w:r>
        <w:t>2. Planejamento fiscal 2027–2030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Isto é simulação do programa, não projeção do Banco Central nem do Ministério da Fazenda de outubro de 2026. A base de partida, essa sim, é observação: Prisma de 15 de outubro via dívida bruta em 83,4% do PIB no fim de 2026 e 87% em 2027; Focus via primário ainda negativo e resultado nominal perto de −8,9% do PIB em 2026, com Selic a 13,75%. Aritmética que o programa não esconde: com dívida perto de 85% do PIB, um superávit primário de 0,5% não faz a dívida cair se o juro real exceder o crescimento por vários pontos. Ele apenas reduz a velocidade do estrago e, se for crível, ajuda o prêmio a cair. Queda firme da relação dívida/PIB pode ficar para depois de 2030. Prometer 70% do PIB em 2030 seria conto.</w:t>
      </w:r>
    </w:p>
    <w:p>
      <w:pPr>
        <w:pStyle w:val="Heading2"/>
      </w:pPr>
      <w:r>
        <w:t>Movimento estrutural pretendido, em pontos do PIB, escala cheia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328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Efeito no primário</w:t>
            </w:r>
          </w:p>
        </w:tc>
        <w:tc>
          <w:tcPr>
            <w:tcW w:type="dxa" w:w="328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Natureza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Revisão de renúncias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+0,40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Receita que deixa de ser gasto tributário. Depende de lei. Pode sair pela metade.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Subsídio financeiro e estatal dependente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+0,15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Corte de gasto. Parte é ato de orçamento; parte enfrenta bancada.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Fraude e pagamento indevido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+0,10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Estimativa incerta. Não pode ser gasta antes de caixa.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Congelamento real de custeio não prioritário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+0,20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Ato orçamentário. Risco de parar serviço se for burro.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Alívio de folha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−0,20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Só ocorre se a renúncia compensar.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Educação, segurança, saneamento, ciência, pagamento ambiental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−0,35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Escala cheia contingente. Pilotos são menores e entram mesmo assim.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Líquido estrutural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+0,30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Mais o que o ciclo e a regra já herdada fizerem. Não é milagre de 2 pontos.</w:t>
            </w:r>
          </w:p>
        </w:tc>
      </w:tr>
    </w:tbl>
    <w:p>
      <w:pPr>
        <w:spacing w:after="120"/>
      </w:pP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Necessidade de lei: renúncia, folha, plataforma, fundo de segurança, cannabis, maioridade, reeleição, comitê de investimento, inteligência artificial. Ato próprio: decreto de licença, instrução diplomática, contrato dos Correios, auditoria de Angra 3, veto, indicação, não telefonar ao Ibama. Estados e municípios: polícia, escola, esgoto, fila local.</w:t>
      </w:r>
    </w:p>
    <w:p>
      <w:pPr>
        <w:pStyle w:val="Heading2"/>
      </w:pPr>
      <w:r>
        <w:t>Cenários no fim de 2030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2466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Otimista</w:t>
            </w:r>
          </w:p>
        </w:tc>
        <w:tc>
          <w:tcPr>
            <w:tcW w:type="dxa" w:w="2466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Central</w:t>
            </w:r>
          </w:p>
        </w:tc>
        <w:tc>
          <w:tcPr>
            <w:tcW w:type="dxa" w:w="2466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Pessimista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O que acontece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Lei de renúncias passa perto da meta; prêmio de risco cai cerca de 1,5 p.p.; crescimento real perto de 2,2%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Metade da renúncia; Selic desce devagar, como o Focus já sugeria; crescimento perto de 1,8%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Reformas emperram; choque externo; crescimento perto de 1%; juro volta a subir</w:t>
            </w:r>
          </w:p>
        </w:tc>
      </w:tr>
      <w:tr>
        <w:trPr>
          <w:cantSplit/>
        </w:trPr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Primário em 2030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+0,8% do PIB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+0,5% do PIB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ainda deficitário, cerca de −0,3%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Dívida bruta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estabiliza perto de 86% e começa a dobrar a curva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sobe mais devagar e termina na casa de 90% a 92%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caminho de 95% ou mais</w:t>
            </w:r>
          </w:p>
        </w:tc>
      </w:tr>
      <w:tr>
        <w:trPr>
          <w:cantSplit/>
        </w:trPr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IPCA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dentro da banda, perto de 3,5%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na banda alta, perto de 4%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de novo acima de 4,5%</w:t>
            </w:r>
          </w:p>
        </w:tc>
      </w:tr>
      <w:tr>
        <w:trPr>
          <w:cantSplit/>
        </w:trPr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Crescimento médio do mandato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perto de 2,2%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perto de 1,8%</w:t>
            </w:r>
          </w:p>
        </w:tc>
        <w:tc>
          <w:tcPr>
            <w:tcW w:type="dxa" w:w="2466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perto de 1,2%</w:t>
            </w:r>
          </w:p>
        </w:tc>
      </w:tr>
      <w:tr>
        <w:trPr>
          <w:cantSplit/>
        </w:trPr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O que se corta primeiro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Nada da âncora; acelera-se investimento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Escala cheia dos eixos sociais não abre</w:t>
            </w:r>
          </w:p>
        </w:tc>
        <w:tc>
          <w:tcPr>
            <w:tcW w:type="dxa" w:w="2466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Ficam só pilotos, pisos constitucionais e estabilizadores</w:t>
            </w:r>
          </w:p>
        </w:tc>
      </w:tr>
    </w:tbl>
    <w:p>
      <w:pPr>
        <w:spacing w:after="120"/>
      </w:pP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Efeito esperado no cenário central: déficit nominal ainda alto por causa do juro herdado, porém menor do que a trajetória que o Prisma de outubro de 2026 já punha em 87% de dívida em 2027 se nada mudasse a credibilidade. Inflação não é instrumento de ajuste. Crescimento não é prometido acima do que a produtividade permitir. Se o cenário pessimista se instalar por erro próprio — gastança, telefone ao BC, licença vendida —, o critério de fracasso do volume 10 se aplica, não uma revisão cosmética.</w:t>
      </w:r>
    </w:p>
    <w:p>
      <w:pPr>
        <w:pStyle w:val="Heading2"/>
      </w:pPr>
      <w:r>
        <w:t>Riscos de execução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Congresso aprova a despesa do programa e rejeita a renúncia. Resposta já escrita: a despesa nova não escala. Se escalar por pressão política, o plano foi violado por quem o escreveu.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Receita da transição do IBS/CBS decepciona. Resposta: usar o seguro de transição da emenda, não criar tributo paralelo de madrugada.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Fraude previdenciária rende menos do que 0,10% do PIB. Resposta: não antecipar esse dinheiro em programa permanente.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Choque de combustível ou de alimento recoloca o IPCA acima do teto. Resposta: BC autônomo e meta fiscal mantida; sem tabela de congelamento.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Tentação eleitoral de 2028 e de 2030, mesmo sem reeleição de Elias, via governadores aliados. Resposta: o veto a despesa permanente sem fonte continua valendo no último ano.</w:t>
      </w:r>
    </w:p>
    <w:p>
      <w:pPr>
        <w:pStyle w:val="Heading1"/>
      </w:pPr>
      <w:r>
        <w:t>3. Governabilidade com 8% das cadeiras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Premissa do experimento, não fato eleitoral: 8% da Câmara e 8% do Senado. Isso não faz maioria, não faz emenda e não faz sequer lei ordinária sem sócio. O programa foi escrito para essa aritmética. O que é decreto e veto não espera os 3/5. O que é emenda — maioridade penal e fim da reeleição — pode morrer sem levar o resto junto.</w:t>
      </w:r>
    </w:p>
    <w:p>
      <w:pPr>
        <w:pStyle w:val="Heading2"/>
      </w:pPr>
      <w:r>
        <w:t>Perfil dos ministros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Critério único: competência de execução, ficha limpa no universo da simulação e disposição de assinar papel com número. Cota de partido da coalizão existirá, porque negar isso é mentir sobre o presidencialismo, e terá limite: pasta de orçamento, de polícia federal, de receita e de meio ambiente licenciador não é moeda. Ministro que usar o cargo para campanha pessoal ou para favorecimento de doador sai. A vice não acumula ministério, para não misturar a sucessão com a fila do SUS.</w:t>
      </w:r>
    </w:p>
    <w:p>
      <w:pPr>
        <w:pStyle w:val="Heading2"/>
      </w:pPr>
      <w:r>
        <w:t>Gabinete hipotético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Nomes abaixo são fictícios, como o restante da biografia. Não correspondem a pessoas reais e não indicam apoio de ninguém.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328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Pasta</w:t>
            </w:r>
          </w:p>
        </w:tc>
        <w:tc>
          <w:tcPr>
            <w:tcW w:type="dxa" w:w="328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Nome fictício</w:t>
            </w:r>
          </w:p>
        </w:tc>
        <w:tc>
          <w:tcPr>
            <w:tcW w:type="dxa" w:w="3289"/>
            <w:shd w:fill="0B1F33" w:val="clear"/>
          </w:tcPr>
          <w:p>
            <w:r/>
            <w:r>
              <w:rPr>
                <w:rFonts w:ascii="Liberation Sans" w:hAnsi="Liberation Sans" w:eastAsia="Liberation Sans"/>
                <w:b/>
                <w:i w:val="0"/>
                <w:color w:val="FFFFFF"/>
                <w:sz w:val="16"/>
              </w:rPr>
              <w:t>Perfil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Casa Civil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Renato Pacheco Leme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Advogado público, negociador de pauta escrita, sem carreira de palanque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Fazenda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Sílvia Kalman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Economista de quadro, mandato de dizer não ao presidente em voz alta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Planejamento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Otávio Braga Nunes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Orçamento de investimento; separa obra de custeio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Justiça e Segurança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Ivo Lacerda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Delegado federal aposentado da ficção; câmera e inteligência, não palanque penal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Defesa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Teresa Quaresma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Civil, experiência em fronteira; Forças não tutelam o plano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Relações Exteriores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Paulo Estevão Kim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Diplomata de carreira fictício; executa o volume 07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Saúde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Mariana Souza Leal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Gestora do SUS, não celebridade; a vice acompanha sem comandar a pasta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Educação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Cícero Almeida Pontes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Alfabetização e rede municipal; sem projeto de campus novo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Trabalho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Helena Ruiz Vidal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Relações do trabalho; estatuto de plataforma sem aventura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Transportes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Jorge Mutran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Concessão e hidrovia; autorizado a arquivar corredor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Minas e Energia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Lígia Dorneles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Engenheira; guarda o teto de Angra 3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Meio Ambiente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André Valente Paxiuba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Fiscalização e licença com prazo; não é cabo eleitoral do agro nem de ONG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Agricultura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Irene Campos do Prado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Crédito condicionado a embargo; agro como setor, não como partido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Cidades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Davi Lemos Uhr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Saneamento e Reurb; sem conjunto inaugurado sem papel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Ciência e Tecnologia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Noemi Adler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Compute público e regra de IA; sem estatal nova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Gestão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Caio Ventura Lopes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Digital e reposição de pessoal</w:t>
            </w:r>
          </w:p>
        </w:tc>
      </w:tr>
      <w:tr>
        <w:trPr>
          <w:cantSplit/>
        </w:trPr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CGU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Benedita Arraes Furtado</w:t>
            </w:r>
          </w:p>
        </w:tc>
        <w:tc>
          <w:tcPr>
            <w:tcW w:type="dxa" w:w="3289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Acesso direto ao presidente; leniência e obra de emenda</w:t>
            </w:r>
          </w:p>
        </w:tc>
      </w:tr>
      <w:tr>
        <w:trPr>
          <w:cantSplit/>
        </w:trPr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Advocacia-Geral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Mário Teixeira Salles</w:t>
            </w:r>
          </w:p>
        </w:tc>
        <w:tc>
          <w:tcPr>
            <w:tcW w:type="dxa" w:w="3289"/>
            <w:shd w:fill="F7F4EF" w:val="clear"/>
          </w:tcPr>
          <w:p>
            <w:r/>
            <w:r>
              <w:rPr>
                <w:rFonts w:ascii="Liberation Sans" w:hAnsi="Liberation Sans" w:eastAsia="Liberation Sans"/>
                <w:b w:val="0"/>
                <w:i w:val="0"/>
                <w:color w:val="1C242C"/>
                <w:sz w:val="16"/>
              </w:rPr>
              <w:t>Contencioso tributário de massa e parecer que o governo cumpre</w:t>
            </w:r>
          </w:p>
        </w:tc>
      </w:tr>
    </w:tbl>
    <w:p>
      <w:pPr>
        <w:spacing w:after="120"/>
      </w:pP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Banco Central: o mandato de quem estiver no cargo na posse será cumprido. Vaga será preenchida com sabatina e com nome de reputação técnica, não de partido. Petrobras, BB e Caixa: indicação com critério publicado antes do nome.</w:t>
      </w:r>
    </w:p>
    <w:p>
      <w:pPr>
        <w:pStyle w:val="Heading2"/>
      </w:pPr>
      <w:r>
        <w:t>Congresso, governadores, Supremo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A base se monta em três círculos. O primeiro é a ATR, pequena, que vota a pauta inteira. O segundo é o bloco de quem quer previsibilidade fiscal, obra com foto verdadeira e nenhuma guerra de costumes — a esse bloco se oferece corredor, saneamento e respeito ao Fundeb e ao piso da saúde. O terceiro não entra: quem exigir anistia de corrupção, voto impresso, orçamento sem rastro ou intervenção militar política. Melhor perder a lei do que comprar com isso.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Governadores recebem critério publicado de convênio, não mala. Prefeitos idem, com o município pobre do Norte na frente do critério, não na frente da fila de aeroporto. O Supremo é cumprido. Derrota judicial encerra a via administrativa e, se o governo ainda quiser a política, vira projeto de lei, não maniobra. Não haverá recado de ministro a ministro do STF por interlocutor de empreiteira. Com a oposição, a pauta de segurança de fronteira e de alfabetização será oferecida por escrito, para dificultar o voto contra apenas por identidade. O veto será usado contra despesa permanente sem fonte, contra enfraquecimento de fiscalização ambiental, contra crime de opinião e contra benefício tributário sem avaliação e sem caducidade.</w:t>
      </w:r>
    </w:p>
    <w:p>
      <w:pPr>
        <w:pStyle w:val="Heading2"/>
      </w:pPr>
      <w:r>
        <w:t>Corrupção dentro do governo e alternância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Declaração de bem e de reunião com interessado em licitação, pública para ministro e para direção de estatal.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CGU pode abrir caso sem pedir licença à Casa Civil. Interferência nisso é falta grave.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Doação eleitoral, no universo da simulação, não compra cargo. Se comprar, o fato é publicado e o ministro sai, mesmo sem condenação ainda — o padrão interno é mais duro do que a sentença.</w:t>
      </w:r>
    </w:p>
    <w:p>
      <w:pPr>
        <w:pStyle w:val="ListBullet"/>
        <w:spacing w:after="60"/>
        <w:ind w:left="567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Eleição livre em 2030, urna mantida, Elias fora da cédula por compromisso próprio. Uso da máquina federal em campanha de aliado é demissão. Transmissão de cargo documentada, inclusive se o sucessor for adversário.</w:t>
      </w:r>
    </w:p>
    <w:p>
      <w:pPr>
        <w:spacing w:after="160" w:line="269" w:lineRule="auto"/>
      </w:pPr>
      <w:r>
        <w:rPr>
          <w:rFonts w:ascii="Liberation Serif" w:hAnsi="Liberation Serif" w:eastAsia="Liberation Serif"/>
          <w:b w:val="0"/>
          <w:i w:val="0"/>
          <w:color w:val="1C242C"/>
          <w:sz w:val="22"/>
        </w:rPr>
        <w:t>Empresário será recebido com pauta e ata. Sindicato também. Nenhum dos dois escreve a medida provisória. A sociedade civil que fiscaliza obra e floresta terá dado aberto; a que pedir veto de categoria inteira de atividade lícita será ouvida e poderá perder.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020" w:bottom="1134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8" w:space="1" w:color="C4622D"/>
      </w:pBdr>
    </w:pPr>
    <w:r>
      <w:rPr>
        <w:rFonts w:ascii="Liberation Sans" w:hAnsi="Liberation Sans" w:eastAsia="Liberation Sans"/>
        <w:b w:val="0"/>
        <w:i w:val="0"/>
        <w:color w:val="4A5560"/>
        <w:sz w:val="18"/>
      </w:rPr>
      <w:t xml:space="preserve">Simulação política  ·  sem registro no TSE  ·  página </w:t>
    </w:r>
    <w:r>
      <w:rPr>
        <w:rFonts w:ascii="Liberation Sans" w:hAnsi="Liberation Sans" w:eastAsia="Liberation Sans"/>
        <w:b w:val="0"/>
        <w:i w:val="0"/>
        <w:color w:val="4A5560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b w:val="0"/>
        <w:i w:val="0"/>
        <w:color w:val="4A5560"/>
        <w:sz w:val="18"/>
      </w:rPr>
      <w:t xml:space="preserve">Peça fictícia da simulação  ·  página </w:t>
    </w:r>
    <w:r>
      <w:rPr>
        <w:rFonts w:ascii="Liberation Sans" w:hAnsi="Liberation Sans" w:eastAsia="Liberation Sans"/>
        <w:b w:val="0"/>
        <w:i w:val="0"/>
        <w:color w:val="4A556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Liberation Sans" w:hAnsi="Liberation Sans" w:eastAsia="Liberation Sans"/>
        <w:b/>
        <w:i w:val="0"/>
        <w:color w:val="C4622D"/>
        <w:sz w:val="16"/>
      </w:rPr>
      <w:t>CANDIDATURA FICTÍCIA  ·  ELEIÇÕES PRESIDENCIAIS DAS IAs  ·  BRASIL 2026</w:t>
    </w:r>
  </w:p>
  <w:p>
    <w:pPr>
      <w:pBdr>
        <w:bottom w:val="single" w:sz="12" w:space="1" w:color="0B1F33"/>
      </w:pBdr>
    </w:pPr>
    <w:r>
      <w:rPr>
        <w:rFonts w:ascii="Liberation Sans" w:hAnsi="Liberation Sans" w:eastAsia="Liberation Sans"/>
        <w:b w:val="0"/>
        <w:i w:val="0"/>
        <w:color w:val="0B1F33"/>
        <w:sz w:val="16"/>
      </w:rPr>
      <w:t>Elias Monteiro Viana  ·  Aliança do Trabalho e da Regra (ATR)  ·  mandato hipotético 2027–2030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69" w:lineRule="auto"/>
    </w:pPr>
    <w:rPr>
      <w:rFonts w:ascii="Liberation Serif" w:hAnsi="Liberation Serif" w:eastAsia="Liberation Serif"/>
      <w:color w:val="1C24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— Promessas, orçamento e governabilidade</dc:title>
  <dc:subject/>
  <dc:creator>Elias Monteiro Viana — candidatura fictícia</dc:creator>
  <cp:keywords/>
  <dc:description>Candidatura fictícia. Sem registro no TSE. Não é propaganda real.</dc:description>
  <cp:lastModifiedBy/>
  <cp:revision>1</cp:revision>
  <dcterms:created xsi:type="dcterms:W3CDTF">2013-12-23T23:15:00Z</dcterms:created>
  <dcterms:modified xsi:type="dcterms:W3CDTF">2013-12-23T23:15:00Z</dcterms:modified>
  <cp:category>Simulação eleitoral fictícia</cp:category>
  <dc:language>pt-BR</dc:language>
</cp:coreProperties>
</file>