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ELEIÇÕES PRESIDENCIAIS DAS IAs — BRASIL 2026</w:t>
      </w:r>
    </w:p>
    <w:p>
      <w:pPr>
        <w:pStyle w:val="Title"/>
      </w:pPr>
      <w:r>
        <w:t>VOLUME 01</w:t>
      </w:r>
    </w:p>
    <w:p>
      <w:pPr>
        <w:pStyle w:val="Title"/>
      </w:pPr>
      <w:r>
        <w:t>Identidade, princípios e manual visual</w:t>
      </w:r>
    </w:p>
    <w:p>
      <w:r>
        <w:rPr>
          <w:b/>
        </w:rPr>
        <w:t>Clara Dantas Siqueira</w:t>
      </w:r>
      <w:r>
        <w:t xml:space="preserve">  •  Partido Horizonte do Trabalho (PHT)</w:t>
      </w:r>
    </w:p>
    <w:p>
      <w:pPr>
        <w:pStyle w:val="Caption"/>
      </w:pPr>
      <w:r>
        <w:t>SIMULAÇÃO FICTÍCIA • NÃO É CANDIDATURA REAL • DATA-BASE 20/10/2026</w:t>
      </w:r>
    </w:p>
    <w:p>
      <w:r>
        <w:t>Documento do universo ficcional. Os números nacionais citados são dados públicos reais identificados por fonte e período; os acontecimentos biográficos, as decisões políticas, metas e projeções da candidatura são construções ficcionais, não fatos históricos.</w:t>
      </w:r>
    </w:p>
    <w:p>
      <w:r>
        <w:br w:type="page"/>
      </w:r>
    </w:p>
    <w:p>
      <w:pPr>
        <w:pStyle w:val="Heading1"/>
      </w:pPr>
      <w:r>
        <w:t>1. Registro de candidatura</w:t>
      </w:r>
    </w:p>
    <w:p>
      <w:r>
        <w:t>Nome civil fictício: Clara Dantas Siqueira. Nome político: Clara Siqueira. Nascimento: 18 de junho de 1978, Petrolina, Pernambuco. Idade em 20 de outubro de 2026: 48 anos. Mulher, brasileira nata no universo ficcional, em pleno exercício dos direitos políticos, filiação partidária e domicílio eleitoral fictícios regularizados. Todos os demais requisitos de elegibilidade e inexistência de inelegibilidades são pressupostos internos à simulação, não verificações no TSE.</w:t>
      </w:r>
    </w:p>
    <w:p>
      <w:r>
        <w:t>Candidatura fictícia à Presidência, mandato imaginário de 1º de janeiro de 2027 a 31 de dezembro de 2030. Nenhum registro ou número eleitoral é reivindicado. A vice-presidência cabe a Rafael Ibiapina Furtado, igualmente personagem ficcional.</w:t>
      </w:r>
    </w:p>
    <w:p>
      <w:pPr>
        <w:pStyle w:val="Heading1"/>
      </w:pPr>
      <w:r>
        <w:t>2. Biografia e trajetória integralmente inventadas</w:t>
      </w:r>
    </w:p>
    <w:p>
      <w:r>
        <w:t>Clara cresceu em família de pequenos comerciantes e docentes no semiárido pernambucano. Na ficção, presenciou interrupções no abastecimento de água, sazonalidade do emprego e evasão escolar; essas experiências definiram sua convicção de que desenvolvimento não é sinônimo de inaugurar obras, mas de manter serviços de qualidade por décadas.</w:t>
      </w:r>
    </w:p>
    <w:p>
      <w:r>
        <w:t>Graduou-se em Engenharia Civil por instituição brasileira fictícia sediada em Recife, fez especialização em engenharia sanitária e mestrado em políticas públicas. Trabalhou com planejamento de redes de água, contratos de obras, auditorias de custos e avaliação de programas municipais. Sua trajetória técnica é invenção narrativa e não currículo de pessoa real.</w:t>
      </w:r>
    </w:p>
    <w:p>
      <w:r>
        <w:t>Foi diretora de projetos de um consórcio municipal fictício (2008–2013), secretária estadual fictícia de infraestrutura territorial (2014–2017) e fundadora de uma organização técnica fictícia dedicada à capacitação de gestores municipais (2018–2022). Nunca se apresenta como ex-ocupante de cargo político verdadeiro. Desde 2023, organizou debates imaginários sobre política industrial, educação e finanças públicas.</w:t>
      </w:r>
    </w:p>
    <w:p>
      <w:r>
        <w:t>Na simulação, Clara é reservada, firme, metódica, cordial e pouco afeita a personalismo. Ouve especialistas de posições divergentes, exige estudos de impacto e aceita corrigir políticas. Sua fraqueza narrativa é a impaciência com promessas sem métricas, o que pode soar tecnocrático. Rejeita culto à personalidade e concentra a liderança em decisões auditáveis.</w:t>
      </w:r>
    </w:p>
    <w:p>
      <w:pPr>
        <w:pStyle w:val="Heading1"/>
      </w:pPr>
      <w:r>
        <w:t>3. Vice-presidente e complementaridade</w:t>
      </w:r>
    </w:p>
    <w:p>
      <w:r>
        <w:t>Rafael Ibiapina Furtado: homem, 54 anos, nascido em Manaus (AM) em 11 de março de 1972, brasileiro nato e elegível na ficção. Economista, docente de escola técnica e gestor fictício de programas de aprendizagem profissional no Norte. Não reivindica currículo real. Complementa a candidata com conhecimento em formação para o trabalho, bioeconomia amazônica, cooperação com estados e diálogo social. Terá coordenação política em assuntos federativos sem substituir atribuições de ministros nem os limites constitucionais do vice.</w:t>
      </w:r>
    </w:p>
    <w:p>
      <w:pPr>
        <w:pStyle w:val="Heading1"/>
      </w:pPr>
      <w:r>
        <w:t>4. Partido e ideologia</w:t>
      </w:r>
    </w:p>
    <w:p>
      <w:r>
        <w:t>Nome: Partido Horizonte do Trabalho (PHT), legenda apenas imaginária, sem inscrição no TSE. “Horizonte” significa planejamento de longo prazo; “Trabalho” inclui emprego com direitos, produtividade, pequenas empresas, agricultura, inovação e empreendedorismo. Slogan: “Produzir melhor. Viver com dignidade.”</w:t>
      </w:r>
    </w:p>
    <w:p>
      <w:r>
        <w:t>Posição ideológica escolhida: desenvolvimentismo produtivista democrático, de centro-esquerda econômica reformista, com planejamento estatal de missão, concorrência privada, disciplina fiscal e direitos civis robustos. O Estado deve assegurar bens públicos, corrigir externalidades e estimular tecnologia; não deve controlar preços generalizadamente, substituir empresários em toda atividade nem desrespeitar independência do Banco Central. Defendemos tributação progressiva e socialmente redistributiva, mas rejeitamos expansão de despesas sem fonte verificável.</w:t>
      </w:r>
    </w:p>
    <w:p>
      <w:r>
        <w:t>Diferenças em relação a alternativas: contra o laissez-faire irrestrito, julgamos insuficiente esperar que o mercado sozinho proveja infraestrutura, saúde e inovação estratégica. Contra um estatismo generalizado, preferimos avaliação de desempenho, concessões competitivas e fechamento de subsídios ineficazes. Contra austeridade indiscriminada, preservamos serviços essenciais; contra estímulos permanentes sem receitas, exigimos ciclo orçamentário realista.</w:t>
      </w:r>
    </w:p>
    <w:p>
      <w:pPr>
        <w:pStyle w:val="Heading1"/>
      </w:pPr>
      <w:r>
        <w:t>5. Declaração de princípios</w:t>
      </w:r>
    </w:p>
    <w:p>
      <w:r>
        <w:t>Liberdade e dever recíproco: Liberdades civis e econômicas exigem garantias judiciais, enquanto políticas tributárias e sanitárias devem considerar impactos sobre terceiros.</w:t>
      </w:r>
    </w:p>
    <w:p>
      <w:r>
        <w:t>Democracia: Presidência submissa à Constituição; Legislativo legisla, Judiciário julga, o Executivo executa. Nenhum resultado econômico justifica atalhos autoritários.</w:t>
      </w:r>
    </w:p>
    <w:p>
      <w:r>
        <w:t>Mercado e Estado: Mercado competitivo para atividades disputáveis; Estado regulador competente, garantidor de saúde, educação, segurança e infraestrutura; empresas públicas estratégicas sob governança.</w:t>
      </w:r>
    </w:p>
    <w:p>
      <w:r>
        <w:t>Oportunidade e distribuição: Educação e primeira infância são prioridade de igualdade de oportunidades; imposto progressivo e assistência focalizada corrigem desigualdades persistentes.</w:t>
      </w:r>
    </w:p>
    <w:p>
      <w:r>
        <w:t>Propriedade e função social: Respeito a contratos e propriedade, sem tolerância à grilagem, trabalho escravo, danos ambientais e abuso de poder econômico.</w:t>
      </w:r>
    </w:p>
    <w:p>
      <w:r>
        <w:t>Patriotismo e integração: Interesse nacional não é isolamento. Diversificação de parceiros reduz dependência e protege autonomia.</w:t>
      </w:r>
    </w:p>
    <w:p>
      <w:r>
        <w:t>Laicidade e fé: Estado laico garante direitos iguais a crentes e não crentes, sem financiar proselitismo oficial nem criminalizar crenças.</w:t>
      </w:r>
    </w:p>
    <w:p>
      <w:r>
        <w:t>Direitos e segurança: Investigar crimes com inteligência, fiscalização independente, devido processo, presunção de inocência e controle do uso da força.</w:t>
      </w:r>
    </w:p>
    <w:p>
      <w:r>
        <w:t>Ambiente e progresso: Clima, água e biodiversidade são ativos produtivos e limites intergeracionais; mineração e energia exigem licenciamento e reparação.</w:t>
      </w:r>
    </w:p>
    <w:p>
      <w:r>
        <w:t>Soberania cooperativa: Diplomacia não alinhada automaticamente, defesa da soberania de terceiros e participação construtiva em instituições multilaterais.</w:t>
      </w:r>
    </w:p>
    <w:p>
      <w:pPr>
        <w:pStyle w:val="Heading1"/>
      </w:pPr>
      <w:r>
        <w:t>6. Cinco compromissos inegociáveis</w:t>
      </w:r>
    </w:p>
    <w:p>
      <w:r>
        <w:rPr>
          <w:b/>
        </w:rPr>
        <w:t xml:space="preserve">1. </w:t>
      </w:r>
      <w:r>
        <w:t>Não interferir em eleições, imprensa, decisões judiciais nem perseguir a oposição.</w:t>
      </w:r>
    </w:p>
    <w:p>
      <w:r>
        <w:rPr>
          <w:b/>
        </w:rPr>
        <w:t xml:space="preserve">2. </w:t>
      </w:r>
      <w:r>
        <w:t>Proteger o caráter universal do SUS e a educação básica pública.</w:t>
      </w:r>
    </w:p>
    <w:p>
      <w:r>
        <w:rPr>
          <w:b/>
        </w:rPr>
        <w:t xml:space="preserve">3. </w:t>
      </w:r>
      <w:r>
        <w:t>Não financiar gastos permanentes com receitas temporárias ou estatísticas fabricadas.</w:t>
      </w:r>
    </w:p>
    <w:p>
      <w:r>
        <w:rPr>
          <w:b/>
        </w:rPr>
        <w:t xml:space="preserve">4. </w:t>
      </w:r>
      <w:r>
        <w:t>Recusar apoio do governo a tortura, execuções extrajudiciais e ataques intencionais contra civis.</w:t>
      </w:r>
    </w:p>
    <w:p>
      <w:r>
        <w:rPr>
          <w:b/>
        </w:rPr>
        <w:t xml:space="preserve">5. </w:t>
      </w:r>
      <w:r>
        <w:t>Publicar contratos, avaliações, beneficiários efetivos e indicadores, respeitada a privacidade legal.</w:t>
      </w:r>
    </w:p>
    <w:p>
      <w:pPr>
        <w:pStyle w:val="Heading1"/>
      </w:pPr>
      <w:r>
        <w:t>7. Três condições concretas para mudar de ideia</w:t>
      </w:r>
    </w:p>
    <w:p>
      <w:r>
        <w:rPr>
          <w:b/>
        </w:rPr>
        <w:t xml:space="preserve">1. </w:t>
      </w:r>
      <w:r>
        <w:t>Se avaliações independentes mostrarem que o subsídio industrial eleva custos sem inovação ou emprego adicional, encerrá-lo após transição contratual.</w:t>
      </w:r>
    </w:p>
    <w:p>
      <w:r>
        <w:rPr>
          <w:b/>
        </w:rPr>
        <w:t xml:space="preserve">2. </w:t>
      </w:r>
      <w:r>
        <w:t>Se a redução gradual de jornada produzir queda relevante de empregos formais em avaliação causal, alongar o cronograma ou suspender a etapa seguinte mediante lei.</w:t>
      </w:r>
    </w:p>
    <w:p>
      <w:r>
        <w:rPr>
          <w:b/>
        </w:rPr>
        <w:t xml:space="preserve">3. </w:t>
      </w:r>
      <w:r>
        <w:t>Se as parcerias de saúde aumentarem custo por tratamento ou piorarem equidade, rescindir ou redesenhar contratos, com continuidade assistencial.</w:t>
      </w:r>
    </w:p>
    <w:p>
      <w:pPr>
        <w:pStyle w:val="Heading1"/>
      </w:pPr>
      <w:r>
        <w:t>8. Visão de país: 4, 10 e 20 anos</w:t>
      </w:r>
    </w:p>
    <w:p>
      <w:r>
        <w:t>Em 2030: maioria das crianças com alfabetização apropriada à idade, maior previsibilidade fiscal, filas SUS transparentes, projetos de água e saneamento contratados com metas e menos violência letal nas regiões prioritárias. Estes são objetivos programáticos, não projeções automáticas.</w:t>
      </w:r>
    </w:p>
    <w:p>
      <w:r>
        <w:t>Em 2036: cadeias industriais competitivas em saúde, máquinas, energia e software, qualificação técnica difundida, cidades mais adaptadas ao clima e patamar de serviços públicos menos desigual entre municípios. A execução depende de governos sucessivos.</w:t>
      </w:r>
    </w:p>
    <w:p>
      <w:r>
        <w:t>Em 2046: economia de renda mais alta e intensiva em tecnologia, energia limpa e confiável, biomas protegidos, população envelhecida com previdência financiável e República capaz de alternar governos sem rupturas institucionais.</w:t>
      </w:r>
    </w:p>
    <w:p>
      <w:pPr>
        <w:pStyle w:val="Heading1"/>
      </w:pPr>
      <w:r>
        <w:t>9. Ficha visual canônica da candidata</w:t>
      </w:r>
    </w:p>
    <w:p>
      <w:r>
        <w:t>Idade e apresentação: 48 anos cronológicos, aparência de 45–47; mulher cis, apresentação feminina sóbria, sem teatralidade.</w:t>
      </w:r>
    </w:p>
    <w:p>
      <w:r>
        <w:t>Corpo: 1,69 m, cerca de 68 kg; corpo proporcional, ombros discretamente largos; postura ereta e relaxada, pés firmes, mãos à frente sem braços cruzados.</w:t>
      </w:r>
    </w:p>
    <w:p>
      <w:r>
        <w:t>Pele e estrutura facial: Pele morena média, subtom dourado-oliva; rosto oval levemente angular; testa alta média-larga; maçãs discretamente salientes; mandíbula suavemente retangular; queixo arredondado.</w:t>
      </w:r>
    </w:p>
    <w:p>
      <w:r>
        <w:t>Nariz, lábios e olhos: Ponte nasal reta e estreita, ponta levemente arredondada; lábios médios, arco do cupido definido; olhos amendoados castanho-escuros com reflexos âmbar, olhar firme e acolhedor.</w:t>
      </w:r>
    </w:p>
    <w:p>
      <w:r>
        <w:t>Sobrancelhas e marca: Sobrancelhas castanho-escuras cheias e levemente arqueadas; pequena cicatriz linear diagonal de cerca de 6 mm atravessando a porção externa da sobrancelha ESQUERDA da personagem — aparece à direita para o observador numa foto frontal.</w:t>
      </w:r>
    </w:p>
    <w:p>
      <w:r>
        <w:t>Cabelos: Castanho-escuros, ondulados 2B, corte long bob na altura dos ombros, repartidos à esquerda da personagem, mecha grisalha sutil na têmpora DIREITA, cabelo preso atrás da orelha direita; sem franja cobrindo olhos.</w:t>
      </w:r>
    </w:p>
    <w:p>
      <w:r>
        <w:t>Outros: Sem óculos, sem barba ou bigode, pequenas rugas naturais de expressão no canto dos olhos, sem sinais adicionais proeminentes. Sem alterações artificiais de idade entre retratos.</w:t>
      </w:r>
    </w:p>
    <w:p>
      <w:r>
        <w:t>Expressão e gestos: Sorriso discreto de lábios parcialmente fechados; contato direto com câmera; ocasional gesto de uma mão aberta, nunca dedo em riste.</w:t>
      </w:r>
    </w:p>
    <w:p>
      <w:r>
        <w:t>Roupa oficial: Blazer azul-marinho #183145 com camisa marfim de gola simples, brincos pequenos de prata, relógio de pulseira escura sem marca visível.</w:t>
      </w:r>
    </w:p>
    <w:p>
      <w:r>
        <w:t>Roupa casual: Camisa branca de algodão de mangas dobradas e calça reta azul-escura; tênis neutro sem logotipos.</w:t>
      </w:r>
    </w:p>
    <w:p>
      <w:r>
        <w:t>Roupa de campanha: Blazer verde-petróleo #1D8C84 aberto, blusa marfim, calça azul-marinho, sapato baixo marrom; pequeno broche abstrato PHT sem número eleitoral.</w:t>
      </w:r>
    </w:p>
    <w:p>
      <w:r>
        <w:t>Continuidade: Não mudar olho castanho-âmbar, cicatriz na sobrancelha esquerda, mecha grisalha na têmpora direita, corte e tom de pele. Sem aproximação do rosto de figura pública.</w:t>
      </w:r>
    </w:p>
    <w:p>
      <w:pPr>
        <w:pStyle w:val="Heading1"/>
      </w:pPr>
      <w:r>
        <w:t>10. Prompts autossuficientes da candidata</w:t>
      </w:r>
    </w:p>
    <w:p>
      <w:pPr>
        <w:pStyle w:val="Heading2"/>
      </w:pPr>
      <w:r>
        <w:t>Prompt A — retrato oficial, 4:5</w:t>
      </w:r>
    </w:p>
    <w:p>
      <w:r>
        <w:t>Mulher brasileira INTEIRAMENTE FICTÍCIA de 48 anos, aparente 46, 1,69 m, porte proporcional e postura ereta; pele morena média subtom dourado-oliva; rosto oval levemente angular, testa média-larga, maçãs discretas, mandíbula suavemente retangular, queixo arredondado; nariz de ponte reta estreita e ponta redonda, lábios médios; olhos amendoados castanho-escuros com reflexos âmbar, sobrancelhas escuras cheias levemente arqueadas e PEQUENA cicatriz diagonal de 6 mm na porção externa da sobrancelha ESQUERDA da personagem (direita de quem vê); cabelo castanho-escuro ondulado 2B em long bob até os ombros, repartido à esquerda, mecha grisalha sutil na têmpora DIREITA, atrás da orelha direita; sem óculos; pequenas rugas naturais nos cantos dos olhos. Evitar semelhança com políticos ou pessoas reais, alterar cicatriz, trocar lados da mecha, deformações das mãos, textos errados, insígnias reais ou aparência de fotografia documental. Fotografia fotorrealista de busto com braços repousados, olhar direto e sorriso discreto, blazer azul-marinho #183145, blusa marfim sem gola alta e pequenos brincos de prata. Fundo cinza quente neutro, iluminação profissional difusa com luz de recorte suave, textura de pele natural sem suavização extrema, lente retrato simulada 85mm, qualidade editorial, proporção 4:5. Rodapé opcional “PERSONAGEM FICTÍCIA — SIMULAÇÃO” adicionado depois em editor; não colocar selo do TSE.</w:t>
      </w:r>
    </w:p>
    <w:p>
      <w:pPr>
        <w:pStyle w:val="Heading2"/>
      </w:pPr>
      <w:r>
        <w:t>Prompt B — corpo inteiro, 2:3</w:t>
      </w:r>
    </w:p>
    <w:p>
      <w:r>
        <w:t>Mulher brasileira INTEIRAMENTE FICTÍCIA de 48 anos, aparente 46, 1,69 m, porte proporcional e postura ereta; pele morena média subtom dourado-oliva; rosto oval levemente angular, testa média-larga, maçãs discretas, mandíbula suavemente retangular, queixo arredondado; nariz de ponte reta estreita e ponta redonda, lábios médios; olhos amendoados castanho-escuros com reflexos âmbar, sobrancelhas escuras cheias levemente arqueadas e PEQUENA cicatriz diagonal de 6 mm na porção externa da sobrancelha ESQUERDA da personagem (direita de quem vê); cabelo castanho-escuro ondulado 2B em long bob até os ombros, repartido à esquerda, mecha grisalha sutil na têmpora DIREITA, atrás da orelha direita; sem óculos; pequenas rugas naturais nos cantos dos olhos. Evitar semelhança com políticos ou pessoas reais, alterar cicatriz, trocar lados da mecha, deformações das mãos, textos errados, insígnias reais ou aparência de fotografia documental. Fotografia editorial de corpo inteiro com perspectiva natural, rua brasileira genérica arborizada com fachadas não identificáveis, calçada limpa, luz da manhã. Blazer verde-petróleo #1D8C84 aberto, blusa marfim, calça azul-marinho, sapato baixo marrom, relógio discreto, uma mão aberta em gesto de diálogo, pés inteiros visíveis, proporção 2:3. Sem faixas oficiais, aglomerações partidárias reais ou números eleitorais; texto externo de simulação.</w:t>
      </w:r>
    </w:p>
    <w:p>
      <w:pPr>
        <w:pStyle w:val="Heading2"/>
      </w:pPr>
      <w:r>
        <w:t>Prompt C — cartaz fictício, 4:5</w:t>
      </w:r>
    </w:p>
    <w:p>
      <w:r>
        <w:t>Mulher brasileira INTEIRAMENTE FICTÍCIA de 48 anos, aparente 46, 1,69 m, porte proporcional e postura ereta; pele morena média subtom dourado-oliva; rosto oval levemente angular, testa média-larga, maçãs discretas, mandíbula suavemente retangular, queixo arredondado; nariz de ponte reta estreita e ponta redonda, lábios médios; olhos amendoados castanho-escuros com reflexos âmbar, sobrancelhas escuras cheias levemente arqueadas e PEQUENA cicatriz diagonal de 6 mm na porção externa da sobrancelha ESQUERDA da personagem (direita de quem vê); cabelo castanho-escuro ondulado 2B em long bob até os ombros, repartido à esquerda, mecha grisalha sutil na têmpora DIREITA, atrás da orelha direita; sem óculos; pequenas rugas naturais nos cantos dos olhos. Evitar semelhança com políticos ou pessoas reais, alterar cicatriz, trocar lados da mecha, deformações das mãos, textos errados, insígnias reais ou aparência de fotografia documental. Composição editorial de cartaz vertical 4:5, candidata em plano americano à direita com mãos naturais relaxadas, expressão segura e cordial, blazer #183145 e camisa marfim. Fundo em gradiente limpo de #183145 para #1D8C84, espaço NEGATIVO intencional à esquerda para inserir depois o texto “CLARA SIQUEIRA / PRODUZIR MELHOR. VIVER COM DIGNIDADE. / SIMULAÇÃO FICTÍCIA”, textura sutil de papel, iluminação de estúdio. Não gerar números de urna, símbolos nacionais oficiais nem falsos endossos.</w:t>
      </w:r>
    </w:p>
    <w:p>
      <w:pPr>
        <w:pStyle w:val="Heading1"/>
      </w:pPr>
      <w:r>
        <w:t>11. Dossiê visual do vice e prompt</w:t>
      </w:r>
    </w:p>
    <w:p>
      <w:r>
        <w:t>Rafael Ibiapina Furtado: homem fictício de 54 anos, aparência 52–55, 1,78 m, porte médio, pele parda escura de subtom neutro, rosto quadrado de bochechas discretas, olhos castanho-escuros, sobrancelhas retas, nariz de base média, barba curta preta grisalha, cabelo crespo curto com grisalho nas têmporas; óculos retangulares de aro fino grafite, pequena covinha do lado esquerdo ao sorrir; terno azul-marinho, camisa branca e gravata cobre fosca. Não trocar características com a candidata.</w:t>
      </w:r>
    </w:p>
    <w:p>
      <w:r>
        <w:t>Prompt próprio — retrato de Rafael, 4:5: fotografia de estúdio de homem brasileiro inteiramente fictício de 54 anos, aparência 53, 1,78 m, pele parda escura subtom neutro, rosto quadrado, olhos castanho-escuros, nariz base média, sobrancelhas retas, cabelos crespos curtos pretos grisalhos nas têmporas, barba curta preto-grisalha, óculos retangulares finos grafite e covinha à esquerda ao sorrir; terno azul-marinho com camisa branca e gravata cobre fosca; busto, postura tranquila, luz difusa, fundo cinza, 4:5, fotorrealismo editorial. NEGATIVOS: não parecer pessoa real ou político existente, não trocar cores, não remover óculos, sem selo oficial, sem dedos deformados; identificar “vice fictício” fora da imagem.</w:t>
      </w:r>
    </w:p>
    <w:p>
      <w:pPr>
        <w:pStyle w:val="Heading1"/>
      </w:pPr>
      <w:r>
        <w:t>12. Marca partidária: manual de identidade</w:t>
      </w:r>
    </w:p>
    <w:p>
      <w:r>
        <w:t>Conceito: três colunas ascendentes, lado a lado, simbolizam trabalho, ciência e prosperidade distribuída. A progressão de alturas representa oportunidades ao longo de uma vida. A construção geométrica tem extrema economia de traços, sem estrelas, bandeiras, cruzes, árvores, punhos, mascotes, urnas ou escudos estatais. Trata-se de marca idealizada e não aprovada por órgão eleitoral.</w:t>
      </w:r>
    </w:p>
    <w:p>
      <w:r>
        <w:t>Geometria reprodutível: desenhar em quadro 100 × 100 unidades. Três retângulos verticais preenchidos, com cantos levemente arredondados de raio 3 unidades, bases exatamente na linha y = 84. Retângulo 1: x = 12 até 30, topo y = 48. Retângulo 2: x = 41 até 59, topo y = 34. Retângulo 3: x = 70 até 88, topo y = 20. Todos com largura 18, espaçamento horizontal de 11 e borda zero. Não adicionar gradientes, setas, contornos ou elementos extras. A composição é intencionalmente abstrata; não representa gráficos estatísticos reais.</w:t>
      </w:r>
    </w:p>
    <w:tbl>
      <w:tblPr>
        <w:tblStyle w:val="TableGrid"/>
        <w:tblW w:type="auto" w:w="0"/>
        <w:jc w:val="center"/>
        <w:tblLook w:firstColumn="1" w:firstRow="1" w:lastColumn="0" w:lastRow="0" w:noHBand="0" w:noVBand="1" w:val="04A0"/>
      </w:tblPr>
      <w:tblGrid>
        <w:gridCol w:w="3182"/>
        <w:gridCol w:w="3182"/>
        <w:gridCol w:w="3182"/>
      </w:tblGrid>
      <w:tr>
        <w:trPr>
          <w:tblHeader w:val="true"/>
        </w:trPr>
        <w:tc>
          <w:tcPr>
            <w:tcW w:type="dxa" w:w="3182"/>
            <w:shd w:fill="183145"/>
          </w:tcPr>
          <w:p>
            <w:r>
              <w:rPr>
                <w:b/>
                <w:color w:val="FFFFFF"/>
                <w:sz w:val="16"/>
              </w:rPr>
              <w:t>Função</w:t>
            </w:r>
          </w:p>
        </w:tc>
        <w:tc>
          <w:tcPr>
            <w:tcW w:type="dxa" w:w="3182"/>
            <w:shd w:fill="183145"/>
          </w:tcPr>
          <w:p>
            <w:r>
              <w:rPr>
                <w:b/>
                <w:color w:val="FFFFFF"/>
                <w:sz w:val="16"/>
              </w:rPr>
              <w:t>Cor</w:t>
            </w:r>
          </w:p>
        </w:tc>
        <w:tc>
          <w:tcPr>
            <w:tcW w:type="dxa" w:w="3182"/>
            <w:shd w:fill="183145"/>
          </w:tcPr>
          <w:p>
            <w:r>
              <w:rPr>
                <w:b/>
                <w:color w:val="FFFFFF"/>
                <w:sz w:val="16"/>
              </w:rPr>
              <w:t>HEX</w:t>
            </w:r>
          </w:p>
        </w:tc>
      </w:tr>
      <w:tr>
        <w:tc>
          <w:tcPr>
            <w:tcW w:type="dxa" w:w="3182"/>
            <w:vAlign w:val="center"/>
          </w:tcPr>
          <w:p>
            <w:pPr>
              <w:spacing w:after="40" w:before="40"/>
            </w:pPr>
            <w:r>
              <w:rPr>
                <w:color w:val="183145"/>
                <w:sz w:val="16"/>
              </w:rPr>
              <w:t>Principal institucional</w:t>
            </w:r>
          </w:p>
        </w:tc>
        <w:tc>
          <w:tcPr>
            <w:tcW w:type="dxa" w:w="3182"/>
            <w:vAlign w:val="center"/>
          </w:tcPr>
          <w:p>
            <w:pPr>
              <w:spacing w:after="40" w:before="40"/>
            </w:pPr>
            <w:r>
              <w:rPr>
                <w:color w:val="183145"/>
                <w:sz w:val="16"/>
              </w:rPr>
              <w:t>Azul petróleo profundo</w:t>
            </w:r>
          </w:p>
        </w:tc>
        <w:tc>
          <w:tcPr>
            <w:tcW w:type="dxa" w:w="3182"/>
            <w:vAlign w:val="center"/>
          </w:tcPr>
          <w:p>
            <w:pPr>
              <w:spacing w:after="40" w:before="40"/>
            </w:pPr>
            <w:r>
              <w:rPr>
                <w:color w:val="183145"/>
                <w:sz w:val="16"/>
              </w:rPr>
              <w:t>#183145</w:t>
            </w:r>
          </w:p>
        </w:tc>
      </w:tr>
      <w:tr>
        <w:tc>
          <w:tcPr>
            <w:tcW w:type="dxa" w:w="3182"/>
            <w:vAlign w:val="center"/>
          </w:tcPr>
          <w:p>
            <w:pPr>
              <w:spacing w:after="40" w:before="40"/>
            </w:pPr>
            <w:r>
              <w:rPr>
                <w:color w:val="183145"/>
                <w:sz w:val="16"/>
              </w:rPr>
              <w:t>Principal de ação</w:t>
            </w:r>
          </w:p>
        </w:tc>
        <w:tc>
          <w:tcPr>
            <w:tcW w:type="dxa" w:w="3182"/>
            <w:vAlign w:val="center"/>
          </w:tcPr>
          <w:p>
            <w:pPr>
              <w:spacing w:after="40" w:before="40"/>
            </w:pPr>
            <w:r>
              <w:rPr>
                <w:color w:val="183145"/>
                <w:sz w:val="16"/>
              </w:rPr>
              <w:t>Verde-petróleo</w:t>
            </w:r>
          </w:p>
        </w:tc>
        <w:tc>
          <w:tcPr>
            <w:tcW w:type="dxa" w:w="3182"/>
            <w:vAlign w:val="center"/>
          </w:tcPr>
          <w:p>
            <w:pPr>
              <w:spacing w:after="40" w:before="40"/>
            </w:pPr>
            <w:r>
              <w:rPr>
                <w:color w:val="183145"/>
                <w:sz w:val="16"/>
              </w:rPr>
              <w:t>#1D8C84</w:t>
            </w:r>
          </w:p>
        </w:tc>
      </w:tr>
      <w:tr>
        <w:tc>
          <w:tcPr>
            <w:tcW w:type="dxa" w:w="3182"/>
            <w:vAlign w:val="center"/>
          </w:tcPr>
          <w:p>
            <w:pPr>
              <w:spacing w:after="40" w:before="40"/>
            </w:pPr>
            <w:r>
              <w:rPr>
                <w:color w:val="183145"/>
                <w:sz w:val="16"/>
              </w:rPr>
              <w:t>Acento quente</w:t>
            </w:r>
          </w:p>
        </w:tc>
        <w:tc>
          <w:tcPr>
            <w:tcW w:type="dxa" w:w="3182"/>
            <w:vAlign w:val="center"/>
          </w:tcPr>
          <w:p>
            <w:pPr>
              <w:spacing w:after="40" w:before="40"/>
            </w:pPr>
            <w:r>
              <w:rPr>
                <w:color w:val="183145"/>
                <w:sz w:val="16"/>
              </w:rPr>
              <w:t>Cobre claro</w:t>
            </w:r>
          </w:p>
        </w:tc>
        <w:tc>
          <w:tcPr>
            <w:tcW w:type="dxa" w:w="3182"/>
            <w:vAlign w:val="center"/>
          </w:tcPr>
          <w:p>
            <w:pPr>
              <w:spacing w:after="40" w:before="40"/>
            </w:pPr>
            <w:r>
              <w:rPr>
                <w:color w:val="183145"/>
                <w:sz w:val="16"/>
              </w:rPr>
              <w:t>#E9A65B</w:t>
            </w:r>
          </w:p>
        </w:tc>
      </w:tr>
      <w:tr>
        <w:tc>
          <w:tcPr>
            <w:tcW w:type="dxa" w:w="3182"/>
            <w:vAlign w:val="center"/>
          </w:tcPr>
          <w:p>
            <w:pPr>
              <w:spacing w:after="40" w:before="40"/>
            </w:pPr>
            <w:r>
              <w:rPr>
                <w:color w:val="183145"/>
                <w:sz w:val="16"/>
              </w:rPr>
              <w:t>Fundo claro</w:t>
            </w:r>
          </w:p>
        </w:tc>
        <w:tc>
          <w:tcPr>
            <w:tcW w:type="dxa" w:w="3182"/>
            <w:vAlign w:val="center"/>
          </w:tcPr>
          <w:p>
            <w:pPr>
              <w:spacing w:after="40" w:before="40"/>
            </w:pPr>
            <w:r>
              <w:rPr>
                <w:color w:val="183145"/>
                <w:sz w:val="16"/>
              </w:rPr>
              <w:t>Marfim</w:t>
            </w:r>
          </w:p>
        </w:tc>
        <w:tc>
          <w:tcPr>
            <w:tcW w:type="dxa" w:w="3182"/>
            <w:vAlign w:val="center"/>
          </w:tcPr>
          <w:p>
            <w:pPr>
              <w:spacing w:after="40" w:before="40"/>
            </w:pPr>
            <w:r>
              <w:rPr>
                <w:color w:val="183145"/>
                <w:sz w:val="16"/>
              </w:rPr>
              <w:t>#F7F4EC</w:t>
            </w:r>
          </w:p>
        </w:tc>
      </w:tr>
      <w:tr>
        <w:tc>
          <w:tcPr>
            <w:tcW w:type="dxa" w:w="3182"/>
            <w:vAlign w:val="center"/>
          </w:tcPr>
          <w:p>
            <w:pPr>
              <w:spacing w:after="40" w:before="40"/>
            </w:pPr>
            <w:r>
              <w:rPr>
                <w:color w:val="183145"/>
                <w:sz w:val="16"/>
              </w:rPr>
              <w:t>Contraste tipográfico</w:t>
            </w:r>
          </w:p>
        </w:tc>
        <w:tc>
          <w:tcPr>
            <w:tcW w:type="dxa" w:w="3182"/>
            <w:vAlign w:val="center"/>
          </w:tcPr>
          <w:p>
            <w:pPr>
              <w:spacing w:after="40" w:before="40"/>
            </w:pPr>
            <w:r>
              <w:rPr>
                <w:color w:val="183145"/>
                <w:sz w:val="16"/>
              </w:rPr>
              <w:t>Branco</w:t>
            </w:r>
          </w:p>
        </w:tc>
        <w:tc>
          <w:tcPr>
            <w:tcW w:type="dxa" w:w="3182"/>
            <w:vAlign w:val="center"/>
          </w:tcPr>
          <w:p>
            <w:pPr>
              <w:spacing w:after="40" w:before="40"/>
            </w:pPr>
            <w:r>
              <w:rPr>
                <w:color w:val="183145"/>
                <w:sz w:val="16"/>
              </w:rPr>
              <w:t>#FFFFFF</w:t>
            </w:r>
          </w:p>
        </w:tc>
      </w:tr>
      <w:tr>
        <w:tc>
          <w:tcPr>
            <w:tcW w:type="dxa" w:w="3182"/>
            <w:vAlign w:val="center"/>
          </w:tcPr>
          <w:p>
            <w:pPr>
              <w:spacing w:after="40" w:before="40"/>
            </w:pPr>
            <w:r>
              <w:rPr>
                <w:color w:val="183145"/>
                <w:sz w:val="16"/>
              </w:rPr>
              <w:t>Cinza secundário</w:t>
            </w:r>
          </w:p>
        </w:tc>
        <w:tc>
          <w:tcPr>
            <w:tcW w:type="dxa" w:w="3182"/>
            <w:vAlign w:val="center"/>
          </w:tcPr>
          <w:p>
            <w:pPr>
              <w:spacing w:after="40" w:before="40"/>
            </w:pPr>
            <w:r>
              <w:rPr>
                <w:color w:val="183145"/>
                <w:sz w:val="16"/>
              </w:rPr>
              <w:t>Cinza azulado</w:t>
            </w:r>
          </w:p>
        </w:tc>
        <w:tc>
          <w:tcPr>
            <w:tcW w:type="dxa" w:w="3182"/>
            <w:vAlign w:val="center"/>
          </w:tcPr>
          <w:p>
            <w:pPr>
              <w:spacing w:after="40" w:before="40"/>
            </w:pPr>
            <w:r>
              <w:rPr>
                <w:color w:val="183145"/>
                <w:sz w:val="16"/>
              </w:rPr>
              <w:t>#58636D</w:t>
            </w:r>
          </w:p>
        </w:tc>
      </w:tr>
    </w:tbl>
    <w:p/>
    <w:p>
      <w:r>
        <w:t>Tipografia gratuita sugerida: Montserrat SemiBold ou Aptos Display Bold para PHT e nome; Source Sans 3 / Aptos para slogan e texto. Sigla sempre PHT, caixa alta, tracking visual +2%; por extenso em caixa título, alinhado à esquerda; hierarquia: ícone 1,2× a altura da sigla e slogan menor (50–60% do corpo da sigla). Nunca depender de fonte paga.</w:t>
      </w:r>
    </w:p>
    <w:p>
      <w:r>
        <w:t>Logotipo horizontal: símbolo à esquerda com distância equivalente a 12 unidades e “PHT” seguido, abaixo e menor, por “Partido Horizonte do Trabalho”. Versão vertical: ícone centralizado, abaixo “PHT”, terceira linha nome. Ícone avulso: só três colunas em quadrado de proteção 100 × 100. Monocromática: retângulos 100% pretos sobre branco ou vice-versa. Fundo escuro: símbolo em verde-petróleo com sigla branca; acento cobre apenas secundário, jamais como terceiro retângulo.</w:t>
      </w:r>
    </w:p>
    <w:p>
      <w:r>
        <w:t>Respiro: margem livre mínima de uma largura de coluna (18 unidades) em todos os lados do símbolo. Tamanho mínimo sugerido para ícone: 20 px na tela e 7 mm impresso; para assinatura completa: 130 px em tela e 35 mm impresso. Abaixo disso, usar só o símbolo. Em DOCX, preferir imagem nítida ou vetor, sem esticar verticalmente. Não usar baixo contraste verde sobre preto, distorcer largura, girar, sombrear, sobrepor brasão, imitar TSE ou combinar com números de urna.</w:t>
      </w:r>
    </w:p>
    <w:p>
      <w:pPr>
        <w:pStyle w:val="Heading1"/>
      </w:pPr>
      <w:r>
        <w:t>13. Quatro prompts para a logomarca</w:t>
      </w:r>
    </w:p>
    <w:p>
      <w:pPr>
        <w:pStyle w:val="Heading2"/>
      </w:pPr>
      <w:r>
        <w:t>Prompt — Principal horizontal, transparência</w:t>
      </w:r>
    </w:p>
    <w:p>
      <w:r>
        <w:t>Marca ORIGINAL do fictício Partido Horizonte do Trabalho, sigla PHT. Construção EXATA no quadro de coordenadas 100 × 100: três retângulos verticais sólidos de cantos raio 3 e largura 18, todos apoiados em y=84; retângulo esquerdo x12–30 com topo y48, central x41–59 topo y34, direito x70–88 topo y20. Cor do ícone #1D8C84, fundo #F7F4EC ou transparente, institucional #183145, acento #E9A65B apenas para detalhes externos. Geometria perfeitamente plana, simétrica na distribuição lateral, três alturas crescentes. SEM estrelas, bandeira, brasão, escudo, flechas, círculos, degradês ou marcas reais. Não simular registro eleitoral. Símbolo à esquerda, à direita texto exato “PHT” em Montserrat SemiBold azul #183145; linha abaixo “Partido Horizonte do Trabalho” em Source Sans 3 regular. Vetor aparente, sem textura, proporção aproximada 3:1, fundo transparente se suportado. Se a IA distorcer letras, deixar espaço vazio e inserir texto em editor gráfico.</w:t>
      </w:r>
    </w:p>
    <w:p>
      <w:pPr>
        <w:pStyle w:val="Heading2"/>
      </w:pPr>
      <w:r>
        <w:t>Prompt — Ícone quadrado</w:t>
      </w:r>
    </w:p>
    <w:p>
      <w:r>
        <w:t>Marca ORIGINAL do fictício Partido Horizonte do Trabalho, sigla PHT. Construção EXATA no quadro de coordenadas 100 × 100: três retângulos verticais sólidos de cantos raio 3 e largura 18, todos apoiados em y=84; retângulo esquerdo x12–30 com topo y48, central x41–59 topo y34, direito x70–88 topo y20. Cor do ícone #1D8C84, fundo #F7F4EC ou transparente, institucional #183145, acento #E9A65B apenas para detalhes externos. Geometria perfeitamente plana, simétrica na distribuição lateral, três alturas crescentes. SEM estrelas, bandeira, brasão, escudo, flechas, círculos, degradês ou marcas reais. Não simular registro eleitoral. Mostrar SOMENTE as três barras no centro de tela quadrada 1:1, margem de segurança de 18 unidades, aparência vetorial, sem texto nem borda, bordas nítidas, tamanho legível a 24 px.</w:t>
      </w:r>
    </w:p>
    <w:p>
      <w:pPr>
        <w:pStyle w:val="Heading2"/>
      </w:pPr>
      <w:r>
        <w:t>Prompt — Monocromática</w:t>
      </w:r>
    </w:p>
    <w:p>
      <w:r>
        <w:t>Marca ORIGINAL do fictício Partido Horizonte do Trabalho, sigla PHT. Construção EXATA no quadro de coordenadas 100 × 100: três retângulos verticais sólidos de cantos raio 3 e largura 18, todos apoiados em y=84; retângulo esquerdo x12–30 com topo y48, central x41–59 topo y34, direito x70–88 topo y20. Cor do ícone #1D8C84, fundo #F7F4EC ou transparente, institucional #183145, acento #E9A65B apenas para detalhes externos. Geometria perfeitamente plana, simétrica na distribuição lateral, três alturas crescentes. SEM estrelas, bandeira, brasão, escudo, flechas, círculos, degradês ou marcas reais. Não simular registro eleitoral. Substituir toda cor por preto #000000 sobre branco #FFFFFF; três retângulos com as mesmas coordenadas, sem tons de cinza, nenhuma ornamentação; abaixo, opcionalmente, “PHT” em preto em fonte sem serifa. Arte preparada para fotocópia.</w:t>
      </w:r>
    </w:p>
    <w:p>
      <w:pPr>
        <w:pStyle w:val="Heading2"/>
      </w:pPr>
      <w:r>
        <w:t>Prompt — Aplicação fictícia em palco</w:t>
      </w:r>
    </w:p>
    <w:p>
      <w:r>
        <w:t>Marca ORIGINAL do fictício Partido Horizonte do Trabalho, sigla PHT. Construção EXATA no quadro de coordenadas 100 × 100: três retângulos verticais sólidos de cantos raio 3 e largura 18, todos apoiados em y=84; retângulo esquerdo x12–30 com topo y48, central x41–59 topo y34, direito x70–88 topo y20. Cor do ícone #1D8C84, fundo #F7F4EC ou transparente, institucional #183145, acento #E9A65B apenas para detalhes externos. Geometria perfeitamente plana, simétrica na distribuição lateral, três alturas crescentes. SEM estrelas, bandeira, brasão, escudo, flechas, círculos, degradês ou marcas reais. Não simular registro eleitoral. Fotografia de cenário de convenção PARTIDÁRIA FICTÍCIA: painel de 5m, púlpito simples e bandeira de tecido retangular exibindo as MESMAS três barras #1D8C84 e sigla PHT em #183145, fundo marfim. Sem pessoa real, sem símbolos de partidos existentes, sem logomarcas de órgãos públicos, sem número eleitoral; iluminação realista, imagem sinalizada externamente como simulação.</w:t>
      </w:r>
    </w:p>
    <w:p>
      <w:pPr>
        <w:pStyle w:val="Heading1"/>
      </w:pPr>
      <w:r>
        <w:t>14. Nota de fidelidade e uso</w:t>
      </w:r>
    </w:p>
    <w:p>
      <w:r>
        <w:t>A identidade é normativa entre todas as fases do experimento. Materiais de propaganda fictícia devem usar a ficha física e o manual cromático sem alterações. Erros de letras produzidos por geradores de imagem devem ser corrigidos em editor; uma imagem sintética não prova que a pessoa existe. Esta ficha e os prompts integram o índice geral em DOCX, satisfazendo a entrega visual textual.</w:t>
      </w:r>
    </w:p>
    <w:sectPr w:rsidR="00FC693F" w:rsidRPr="0006063C" w:rsidSect="00034616">
      <w:headerReference w:type="default" r:id="rId9"/>
      <w:footerReference w:type="default" r:id="rId10"/>
      <w:pgSz w:w="12240" w:h="15840"/>
      <w:pgMar w:top="1304" w:right="1276" w:bottom="1134" w:left="141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36D"/>
        <w:sz w:val="16"/>
      </w:rPr>
      <w:t xml:space="preserve">Eleições Presidenciais das IAs • Brasil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D8C84"/>
        <w:sz w:val="16"/>
      </w:rPr>
      <w:t>PHT  •  CANDIDATURA FICTÍCIA  |  VOLUME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831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D8C84"/>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D8C84"/>
      <w:sz w:val="23"/>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1D8C8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14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