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ELEIÇÕES PRESIDENCIAIS DAS IAs — BRASIL 2026</w:t>
      </w:r>
    </w:p>
    <w:p>
      <w:pPr>
        <w:pStyle w:val="Title"/>
      </w:pPr>
      <w:r>
        <w:t>VOLUME 02</w:t>
      </w:r>
    </w:p>
    <w:p>
      <w:pPr>
        <w:pStyle w:val="Title"/>
      </w:pPr>
      <w:r>
        <w:t>Diagnóstico nacional, indicadores e prioridades</w:t>
      </w:r>
    </w:p>
    <w:p>
      <w:r>
        <w:rPr>
          <w:b/>
        </w:rPr>
        <w:t>Clara Dantas Siqueira</w:t>
      </w:r>
      <w:r>
        <w:t xml:space="preserve">  •  Partido Horizonte do Trabalho (PHT)</w:t>
      </w:r>
    </w:p>
    <w:p>
      <w:pPr>
        <w:pStyle w:val="Caption"/>
      </w:pPr>
      <w:r>
        <w:t>SIMULAÇÃO FICTÍCIA • NÃO É CANDIDATURA REAL • DATA-BASE 20/10/2026</w:t>
      </w:r>
    </w:p>
    <w:p>
      <w:r>
        <w:t>Documento do universo ficcional. Os números nacionais citados são dados públicos reais identificados por fonte e período; os acontecimentos biográficos, as decisões políticas, metas e projeções da candidatura são construções ficcionais, não fatos históricos.</w:t>
      </w:r>
    </w:p>
    <w:p>
      <w:r>
        <w:br w:type="page"/>
      </w:r>
    </w:p>
    <w:p>
      <w:pPr>
        <w:pStyle w:val="Heading1"/>
      </w:pPr>
      <w:r>
        <w:t>1. Regras da evidência</w:t>
      </w:r>
    </w:p>
    <w:p>
      <w:r>
        <w:t>Este volume separa FATO [F] (resultado publicado), ESTIMATIVA [E] (estatística sujeita a revisão), PROJEÇÃO [P] (condicional), INTERPRETAÇÃO [I] (juízo do candidato) e HIPÓTESE [H] (cenário construído). A data-base é 20/10/2026; dados com referência 2024 ou 2025 não devem ser confundidos com medição de outubro de 2026. Não se presume acesso a microdados completos nem se apresenta valor não verificado como fato. Links oficiais e datas estão no catálogo ao final.</w:t>
      </w:r>
    </w:p>
    <w:p>
      <w:pPr>
        <w:pStyle w:val="Heading1"/>
      </w:pPr>
      <w:r>
        <w:t>2. Painel de indicadores verificáveis</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trPr>
        <w:tc>
          <w:tcPr>
            <w:tcW w:type="dxa" w:w="1909"/>
            <w:shd w:fill="183145"/>
          </w:tcPr>
          <w:p>
            <w:r>
              <w:rPr>
                <w:b/>
                <w:color w:val="FFFFFF"/>
                <w:sz w:val="14"/>
              </w:rPr>
              <w:t>Indicador</w:t>
            </w:r>
          </w:p>
        </w:tc>
        <w:tc>
          <w:tcPr>
            <w:tcW w:type="dxa" w:w="1909"/>
            <w:shd w:fill="183145"/>
          </w:tcPr>
          <w:p>
            <w:r>
              <w:rPr>
                <w:b/>
                <w:color w:val="FFFFFF"/>
                <w:sz w:val="14"/>
              </w:rPr>
              <w:t>Valor</w:t>
            </w:r>
          </w:p>
        </w:tc>
        <w:tc>
          <w:tcPr>
            <w:tcW w:type="dxa" w:w="1909"/>
            <w:shd w:fill="183145"/>
          </w:tcPr>
          <w:p>
            <w:r>
              <w:rPr>
                <w:b/>
                <w:color w:val="FFFFFF"/>
                <w:sz w:val="14"/>
              </w:rPr>
              <w:t>Referência</w:t>
            </w:r>
          </w:p>
        </w:tc>
        <w:tc>
          <w:tcPr>
            <w:tcW w:type="dxa" w:w="1909"/>
            <w:shd w:fill="183145"/>
          </w:tcPr>
          <w:p>
            <w:r>
              <w:rPr>
                <w:b/>
                <w:color w:val="FFFFFF"/>
                <w:sz w:val="14"/>
              </w:rPr>
              <w:t>Fonte</w:t>
            </w:r>
          </w:p>
        </w:tc>
        <w:tc>
          <w:tcPr>
            <w:tcW w:type="dxa" w:w="1909"/>
            <w:shd w:fill="183145"/>
          </w:tcPr>
          <w:p>
            <w:r>
              <w:rPr>
                <w:b/>
                <w:color w:val="FFFFFF"/>
                <w:sz w:val="14"/>
              </w:rPr>
              <w:t>Natureza</w:t>
            </w:r>
          </w:p>
        </w:tc>
      </w:tr>
      <w:tr>
        <w:tc>
          <w:tcPr>
            <w:tcW w:type="dxa" w:w="1909"/>
            <w:vAlign w:val="center"/>
          </w:tcPr>
          <w:p>
            <w:pPr>
              <w:spacing w:after="40" w:before="40"/>
            </w:pPr>
            <w:r>
              <w:rPr>
                <w:color w:val="183145"/>
                <w:sz w:val="14"/>
              </w:rPr>
              <w:t>PIB, crescimento anual</w:t>
            </w:r>
          </w:p>
        </w:tc>
        <w:tc>
          <w:tcPr>
            <w:tcW w:type="dxa" w:w="1909"/>
            <w:vAlign w:val="center"/>
          </w:tcPr>
          <w:p>
            <w:pPr>
              <w:spacing w:after="40" w:before="40"/>
            </w:pPr>
            <w:r>
              <w:rPr>
                <w:color w:val="183145"/>
                <w:sz w:val="14"/>
              </w:rPr>
              <w:t>+2,3%</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IBGE [S01]</w:t>
            </w:r>
          </w:p>
        </w:tc>
        <w:tc>
          <w:tcPr>
            <w:tcW w:type="dxa" w:w="1909"/>
            <w:vAlign w:val="center"/>
          </w:tcPr>
          <w:p>
            <w:pPr>
              <w:spacing w:after="40" w:before="40"/>
            </w:pPr>
            <w:r>
              <w:rPr>
                <w:color w:val="183145"/>
                <w:sz w:val="14"/>
              </w:rPr>
              <w:t>F; desempenho passado</w:t>
            </w:r>
          </w:p>
        </w:tc>
      </w:tr>
      <w:tr>
        <w:tc>
          <w:tcPr>
            <w:tcW w:type="dxa" w:w="1909"/>
            <w:vAlign w:val="center"/>
          </w:tcPr>
          <w:p>
            <w:pPr>
              <w:spacing w:after="40" w:before="40"/>
            </w:pPr>
            <w:r>
              <w:rPr>
                <w:color w:val="183145"/>
                <w:sz w:val="14"/>
              </w:rPr>
              <w:t>PIB, trimestral</w:t>
            </w:r>
          </w:p>
        </w:tc>
        <w:tc>
          <w:tcPr>
            <w:tcW w:type="dxa" w:w="1909"/>
            <w:vAlign w:val="center"/>
          </w:tcPr>
          <w:p>
            <w:pPr>
              <w:spacing w:after="40" w:before="40"/>
            </w:pPr>
            <w:r>
              <w:rPr>
                <w:color w:val="183145"/>
                <w:sz w:val="14"/>
              </w:rPr>
              <w:t>+0,5% contra trimestre anterior (dessazon.)</w:t>
            </w:r>
          </w:p>
        </w:tc>
        <w:tc>
          <w:tcPr>
            <w:tcW w:type="dxa" w:w="1909"/>
            <w:vAlign w:val="center"/>
          </w:tcPr>
          <w:p>
            <w:pPr>
              <w:spacing w:after="40" w:before="40"/>
            </w:pPr>
            <w:r>
              <w:rPr>
                <w:color w:val="183145"/>
                <w:sz w:val="14"/>
              </w:rPr>
              <w:t>2º tri/2026</w:t>
            </w:r>
          </w:p>
        </w:tc>
        <w:tc>
          <w:tcPr>
            <w:tcW w:type="dxa" w:w="1909"/>
            <w:vAlign w:val="center"/>
          </w:tcPr>
          <w:p>
            <w:pPr>
              <w:spacing w:after="40" w:before="40"/>
            </w:pPr>
            <w:r>
              <w:rPr>
                <w:color w:val="183145"/>
                <w:sz w:val="14"/>
              </w:rPr>
              <w:t>IBGE [S01]</w:t>
            </w:r>
          </w:p>
        </w:tc>
        <w:tc>
          <w:tcPr>
            <w:tcW w:type="dxa" w:w="1909"/>
            <w:vAlign w:val="center"/>
          </w:tcPr>
          <w:p>
            <w:pPr>
              <w:spacing w:after="40" w:before="40"/>
            </w:pPr>
            <w:r>
              <w:rPr>
                <w:color w:val="183145"/>
                <w:sz w:val="14"/>
              </w:rPr>
              <w:t>F; crescimento moderado</w:t>
            </w:r>
          </w:p>
        </w:tc>
      </w:tr>
      <w:tr>
        <w:tc>
          <w:tcPr>
            <w:tcW w:type="dxa" w:w="1909"/>
            <w:vAlign w:val="center"/>
          </w:tcPr>
          <w:p>
            <w:pPr>
              <w:spacing w:after="40" w:before="40"/>
            </w:pPr>
            <w:r>
              <w:rPr>
                <w:color w:val="183145"/>
                <w:sz w:val="14"/>
              </w:rPr>
              <w:t>PIB, em 4 trimestres</w:t>
            </w:r>
          </w:p>
        </w:tc>
        <w:tc>
          <w:tcPr>
            <w:tcW w:type="dxa" w:w="1909"/>
            <w:vAlign w:val="center"/>
          </w:tcPr>
          <w:p>
            <w:pPr>
              <w:spacing w:after="40" w:before="40"/>
            </w:pPr>
            <w:r>
              <w:rPr>
                <w:color w:val="183145"/>
                <w:sz w:val="14"/>
              </w:rPr>
              <w:t>+1,9%</w:t>
            </w:r>
          </w:p>
        </w:tc>
        <w:tc>
          <w:tcPr>
            <w:tcW w:type="dxa" w:w="1909"/>
            <w:vAlign w:val="center"/>
          </w:tcPr>
          <w:p>
            <w:pPr>
              <w:spacing w:after="40" w:before="40"/>
            </w:pPr>
            <w:r>
              <w:rPr>
                <w:color w:val="183145"/>
                <w:sz w:val="14"/>
              </w:rPr>
              <w:t>até 2º tri/2026</w:t>
            </w:r>
          </w:p>
        </w:tc>
        <w:tc>
          <w:tcPr>
            <w:tcW w:type="dxa" w:w="1909"/>
            <w:vAlign w:val="center"/>
          </w:tcPr>
          <w:p>
            <w:pPr>
              <w:spacing w:after="40" w:before="40"/>
            </w:pPr>
            <w:r>
              <w:rPr>
                <w:color w:val="183145"/>
                <w:sz w:val="14"/>
              </w:rPr>
              <w:t>IBGE [S01]</w:t>
            </w:r>
          </w:p>
        </w:tc>
        <w:tc>
          <w:tcPr>
            <w:tcW w:type="dxa" w:w="1909"/>
            <w:vAlign w:val="center"/>
          </w:tcPr>
          <w:p>
            <w:pPr>
              <w:spacing w:after="40" w:before="40"/>
            </w:pPr>
            <w:r>
              <w:rPr>
                <w:color w:val="183145"/>
                <w:sz w:val="14"/>
              </w:rPr>
              <w:t>F; desaceleração</w:t>
            </w:r>
          </w:p>
        </w:tc>
      </w:tr>
      <w:tr>
        <w:tc>
          <w:tcPr>
            <w:tcW w:type="dxa" w:w="1909"/>
            <w:vAlign w:val="center"/>
          </w:tcPr>
          <w:p>
            <w:pPr>
              <w:spacing w:after="40" w:before="40"/>
            </w:pPr>
            <w:r>
              <w:rPr>
                <w:color w:val="183145"/>
                <w:sz w:val="14"/>
              </w:rPr>
              <w:t>Inflação IPCA mensal</w:t>
            </w:r>
          </w:p>
        </w:tc>
        <w:tc>
          <w:tcPr>
            <w:tcW w:type="dxa" w:w="1909"/>
            <w:vAlign w:val="center"/>
          </w:tcPr>
          <w:p>
            <w:pPr>
              <w:spacing w:after="40" w:before="40"/>
            </w:pPr>
            <w:r>
              <w:rPr>
                <w:color w:val="183145"/>
                <w:sz w:val="14"/>
              </w:rPr>
              <w:t>+0,82%</w:t>
            </w:r>
          </w:p>
        </w:tc>
        <w:tc>
          <w:tcPr>
            <w:tcW w:type="dxa" w:w="1909"/>
            <w:vAlign w:val="center"/>
          </w:tcPr>
          <w:p>
            <w:pPr>
              <w:spacing w:after="40" w:before="40"/>
            </w:pPr>
            <w:r>
              <w:rPr>
                <w:color w:val="183145"/>
                <w:sz w:val="14"/>
              </w:rPr>
              <w:t>set/2026</w:t>
            </w:r>
          </w:p>
        </w:tc>
        <w:tc>
          <w:tcPr>
            <w:tcW w:type="dxa" w:w="1909"/>
            <w:vAlign w:val="center"/>
          </w:tcPr>
          <w:p>
            <w:pPr>
              <w:spacing w:after="40" w:before="40"/>
            </w:pPr>
            <w:r>
              <w:rPr>
                <w:color w:val="183145"/>
                <w:sz w:val="14"/>
              </w:rPr>
              <w:t>IBGE [S02]</w:t>
            </w:r>
          </w:p>
        </w:tc>
        <w:tc>
          <w:tcPr>
            <w:tcW w:type="dxa" w:w="1909"/>
            <w:vAlign w:val="center"/>
          </w:tcPr>
          <w:p>
            <w:pPr>
              <w:spacing w:after="40" w:before="40"/>
            </w:pPr>
            <w:r>
              <w:rPr>
                <w:color w:val="183145"/>
                <w:sz w:val="14"/>
              </w:rPr>
              <w:t>F; mensal volátil</w:t>
            </w:r>
          </w:p>
        </w:tc>
      </w:tr>
      <w:tr>
        <w:tc>
          <w:tcPr>
            <w:tcW w:type="dxa" w:w="1909"/>
            <w:vAlign w:val="center"/>
          </w:tcPr>
          <w:p>
            <w:pPr>
              <w:spacing w:after="40" w:before="40"/>
            </w:pPr>
            <w:r>
              <w:rPr>
                <w:color w:val="183145"/>
                <w:sz w:val="14"/>
              </w:rPr>
              <w:t>IPCA, 12 meses</w:t>
            </w:r>
          </w:p>
        </w:tc>
        <w:tc>
          <w:tcPr>
            <w:tcW w:type="dxa" w:w="1909"/>
            <w:vAlign w:val="center"/>
          </w:tcPr>
          <w:p>
            <w:pPr>
              <w:spacing w:after="40" w:before="40"/>
            </w:pPr>
            <w:r>
              <w:rPr>
                <w:color w:val="183145"/>
                <w:sz w:val="14"/>
              </w:rPr>
              <w:t>+4,58%</w:t>
            </w:r>
          </w:p>
        </w:tc>
        <w:tc>
          <w:tcPr>
            <w:tcW w:type="dxa" w:w="1909"/>
            <w:vAlign w:val="center"/>
          </w:tcPr>
          <w:p>
            <w:pPr>
              <w:spacing w:after="40" w:before="40"/>
            </w:pPr>
            <w:r>
              <w:rPr>
                <w:color w:val="183145"/>
                <w:sz w:val="14"/>
              </w:rPr>
              <w:t>até set/2026</w:t>
            </w:r>
          </w:p>
        </w:tc>
        <w:tc>
          <w:tcPr>
            <w:tcW w:type="dxa" w:w="1909"/>
            <w:vAlign w:val="center"/>
          </w:tcPr>
          <w:p>
            <w:pPr>
              <w:spacing w:after="40" w:before="40"/>
            </w:pPr>
            <w:r>
              <w:rPr>
                <w:color w:val="183145"/>
                <w:sz w:val="14"/>
              </w:rPr>
              <w:t>IBGE [S02]</w:t>
            </w:r>
          </w:p>
        </w:tc>
        <w:tc>
          <w:tcPr>
            <w:tcW w:type="dxa" w:w="1909"/>
            <w:vAlign w:val="center"/>
          </w:tcPr>
          <w:p>
            <w:pPr>
              <w:spacing w:after="40" w:before="40"/>
            </w:pPr>
            <w:r>
              <w:rPr>
                <w:color w:val="183145"/>
                <w:sz w:val="14"/>
              </w:rPr>
              <w:t>F; acima do centro da meta</w:t>
            </w:r>
          </w:p>
        </w:tc>
      </w:tr>
      <w:tr>
        <w:tc>
          <w:tcPr>
            <w:tcW w:type="dxa" w:w="1909"/>
            <w:vAlign w:val="center"/>
          </w:tcPr>
          <w:p>
            <w:pPr>
              <w:spacing w:after="40" w:before="40"/>
            </w:pPr>
            <w:r>
              <w:rPr>
                <w:color w:val="183145"/>
                <w:sz w:val="14"/>
              </w:rPr>
              <w:t>Selic, meta</w:t>
            </w:r>
          </w:p>
        </w:tc>
        <w:tc>
          <w:tcPr>
            <w:tcW w:type="dxa" w:w="1909"/>
            <w:vAlign w:val="center"/>
          </w:tcPr>
          <w:p>
            <w:pPr>
              <w:spacing w:after="40" w:before="40"/>
            </w:pPr>
            <w:r>
              <w:rPr>
                <w:color w:val="183145"/>
                <w:sz w:val="14"/>
              </w:rPr>
              <w:t>13,75% a.a.</w:t>
            </w:r>
          </w:p>
        </w:tc>
        <w:tc>
          <w:tcPr>
            <w:tcW w:type="dxa" w:w="1909"/>
            <w:vAlign w:val="center"/>
          </w:tcPr>
          <w:p>
            <w:pPr>
              <w:spacing w:after="40" w:before="40"/>
            </w:pPr>
            <w:r>
              <w:rPr>
                <w:color w:val="183145"/>
                <w:sz w:val="14"/>
              </w:rPr>
              <w:t>desde 17/09/2026</w:t>
            </w:r>
          </w:p>
        </w:tc>
        <w:tc>
          <w:tcPr>
            <w:tcW w:type="dxa" w:w="1909"/>
            <w:vAlign w:val="center"/>
          </w:tcPr>
          <w:p>
            <w:pPr>
              <w:spacing w:after="40" w:before="40"/>
            </w:pPr>
            <w:r>
              <w:rPr>
                <w:color w:val="183145"/>
                <w:sz w:val="14"/>
              </w:rPr>
              <w:t>BCB [S03]</w:t>
            </w:r>
          </w:p>
        </w:tc>
        <w:tc>
          <w:tcPr>
            <w:tcW w:type="dxa" w:w="1909"/>
            <w:vAlign w:val="center"/>
          </w:tcPr>
          <w:p>
            <w:pPr>
              <w:spacing w:after="40" w:before="40"/>
            </w:pPr>
            <w:r>
              <w:rPr>
                <w:color w:val="183145"/>
                <w:sz w:val="14"/>
              </w:rPr>
              <w:t>F; política do Copom</w:t>
            </w:r>
          </w:p>
        </w:tc>
      </w:tr>
      <w:tr>
        <w:tc>
          <w:tcPr>
            <w:tcW w:type="dxa" w:w="1909"/>
            <w:vAlign w:val="center"/>
          </w:tcPr>
          <w:p>
            <w:pPr>
              <w:spacing w:after="40" w:before="40"/>
            </w:pPr>
            <w:r>
              <w:rPr>
                <w:color w:val="183145"/>
                <w:sz w:val="14"/>
              </w:rPr>
              <w:t>Desemprego PNAD</w:t>
            </w:r>
          </w:p>
        </w:tc>
        <w:tc>
          <w:tcPr>
            <w:tcW w:type="dxa" w:w="1909"/>
            <w:vAlign w:val="center"/>
          </w:tcPr>
          <w:p>
            <w:pPr>
              <w:spacing w:after="40" w:before="40"/>
            </w:pPr>
            <w:r>
              <w:rPr>
                <w:color w:val="183145"/>
                <w:sz w:val="14"/>
              </w:rPr>
              <w:t>5,3%</w:t>
            </w:r>
          </w:p>
        </w:tc>
        <w:tc>
          <w:tcPr>
            <w:tcW w:type="dxa" w:w="1909"/>
            <w:vAlign w:val="center"/>
          </w:tcPr>
          <w:p>
            <w:pPr>
              <w:spacing w:after="40" w:before="40"/>
            </w:pPr>
            <w:r>
              <w:rPr>
                <w:color w:val="183145"/>
                <w:sz w:val="14"/>
              </w:rPr>
              <w:t>jun–ago/2026</w:t>
            </w:r>
          </w:p>
        </w:tc>
        <w:tc>
          <w:tcPr>
            <w:tcW w:type="dxa" w:w="1909"/>
            <w:vAlign w:val="center"/>
          </w:tcPr>
          <w:p>
            <w:pPr>
              <w:spacing w:after="40" w:before="40"/>
            </w:pPr>
            <w:r>
              <w:rPr>
                <w:color w:val="183145"/>
                <w:sz w:val="14"/>
              </w:rPr>
              <w:t>IBGE [S06]</w:t>
            </w:r>
          </w:p>
        </w:tc>
        <w:tc>
          <w:tcPr>
            <w:tcW w:type="dxa" w:w="1909"/>
            <w:vAlign w:val="center"/>
          </w:tcPr>
          <w:p>
            <w:pPr>
              <w:spacing w:after="40" w:before="40"/>
            </w:pPr>
            <w:r>
              <w:rPr>
                <w:color w:val="183145"/>
                <w:sz w:val="14"/>
              </w:rPr>
              <w:t>E amostral; melhora anual</w:t>
            </w:r>
          </w:p>
        </w:tc>
      </w:tr>
      <w:tr>
        <w:tc>
          <w:tcPr>
            <w:tcW w:type="dxa" w:w="1909"/>
            <w:vAlign w:val="center"/>
          </w:tcPr>
          <w:p>
            <w:pPr>
              <w:spacing w:after="40" w:before="40"/>
            </w:pPr>
            <w:r>
              <w:rPr>
                <w:color w:val="183145"/>
                <w:sz w:val="14"/>
              </w:rPr>
              <w:t>Subutilização da força de trabalho</w:t>
            </w:r>
          </w:p>
        </w:tc>
        <w:tc>
          <w:tcPr>
            <w:tcW w:type="dxa" w:w="1909"/>
            <w:vAlign w:val="center"/>
          </w:tcPr>
          <w:p>
            <w:pPr>
              <w:spacing w:after="40" w:before="40"/>
            </w:pPr>
            <w:r>
              <w:rPr>
                <w:color w:val="183145"/>
                <w:sz w:val="14"/>
              </w:rPr>
              <w:t>13,1%</w:t>
            </w:r>
          </w:p>
        </w:tc>
        <w:tc>
          <w:tcPr>
            <w:tcW w:type="dxa" w:w="1909"/>
            <w:vAlign w:val="center"/>
          </w:tcPr>
          <w:p>
            <w:pPr>
              <w:spacing w:after="40" w:before="40"/>
            </w:pPr>
            <w:r>
              <w:rPr>
                <w:color w:val="183145"/>
                <w:sz w:val="14"/>
              </w:rPr>
              <w:t>jun–ago/2026</w:t>
            </w:r>
          </w:p>
        </w:tc>
        <w:tc>
          <w:tcPr>
            <w:tcW w:type="dxa" w:w="1909"/>
            <w:vAlign w:val="center"/>
          </w:tcPr>
          <w:p>
            <w:pPr>
              <w:spacing w:after="40" w:before="40"/>
            </w:pPr>
            <w:r>
              <w:rPr>
                <w:color w:val="183145"/>
                <w:sz w:val="14"/>
              </w:rPr>
              <w:t>IBGE [S06]</w:t>
            </w:r>
          </w:p>
        </w:tc>
        <w:tc>
          <w:tcPr>
            <w:tcW w:type="dxa" w:w="1909"/>
            <w:vAlign w:val="center"/>
          </w:tcPr>
          <w:p>
            <w:pPr>
              <w:spacing w:after="40" w:before="40"/>
            </w:pPr>
            <w:r>
              <w:rPr>
                <w:color w:val="183145"/>
                <w:sz w:val="14"/>
              </w:rPr>
              <w:t>E amostral</w:t>
            </w:r>
          </w:p>
        </w:tc>
      </w:tr>
      <w:tr>
        <w:tc>
          <w:tcPr>
            <w:tcW w:type="dxa" w:w="1909"/>
            <w:vAlign w:val="center"/>
          </w:tcPr>
          <w:p>
            <w:pPr>
              <w:spacing w:after="40" w:before="40"/>
            </w:pPr>
            <w:r>
              <w:rPr>
                <w:color w:val="183145"/>
                <w:sz w:val="14"/>
              </w:rPr>
              <w:t>Déficit primário Governo Central</w:t>
            </w:r>
          </w:p>
        </w:tc>
        <w:tc>
          <w:tcPr>
            <w:tcW w:type="dxa" w:w="1909"/>
            <w:vAlign w:val="center"/>
          </w:tcPr>
          <w:p>
            <w:pPr>
              <w:spacing w:after="40" w:before="40"/>
            </w:pPr>
            <w:r>
              <w:rPr>
                <w:color w:val="183145"/>
                <w:sz w:val="14"/>
              </w:rPr>
              <w:t>R$ 94,9 bilhões</w:t>
            </w:r>
          </w:p>
        </w:tc>
        <w:tc>
          <w:tcPr>
            <w:tcW w:type="dxa" w:w="1909"/>
            <w:vAlign w:val="center"/>
          </w:tcPr>
          <w:p>
            <w:pPr>
              <w:spacing w:after="40" w:before="40"/>
            </w:pPr>
            <w:r>
              <w:rPr>
                <w:color w:val="183145"/>
                <w:sz w:val="14"/>
              </w:rPr>
              <w:t>jan–ago/2026</w:t>
            </w:r>
          </w:p>
        </w:tc>
        <w:tc>
          <w:tcPr>
            <w:tcW w:type="dxa" w:w="1909"/>
            <w:vAlign w:val="center"/>
          </w:tcPr>
          <w:p>
            <w:pPr>
              <w:spacing w:after="40" w:before="40"/>
            </w:pPr>
            <w:r>
              <w:rPr>
                <w:color w:val="183145"/>
                <w:sz w:val="14"/>
              </w:rPr>
              <w:t>STN [S04]</w:t>
            </w:r>
          </w:p>
        </w:tc>
        <w:tc>
          <w:tcPr>
            <w:tcW w:type="dxa" w:w="1909"/>
            <w:vAlign w:val="center"/>
          </w:tcPr>
          <w:p>
            <w:pPr>
              <w:spacing w:after="40" w:before="40"/>
            </w:pPr>
            <w:r>
              <w:rPr>
                <w:color w:val="183145"/>
                <w:sz w:val="14"/>
              </w:rPr>
              <w:t>F contábil; não consolidado anual</w:t>
            </w:r>
          </w:p>
        </w:tc>
      </w:tr>
      <w:tr>
        <w:tc>
          <w:tcPr>
            <w:tcW w:type="dxa" w:w="1909"/>
            <w:vAlign w:val="center"/>
          </w:tcPr>
          <w:p>
            <w:pPr>
              <w:spacing w:after="40" w:before="40"/>
            </w:pPr>
            <w:r>
              <w:rPr>
                <w:color w:val="183145"/>
                <w:sz w:val="14"/>
              </w:rPr>
              <w:t>Dívida bruta governo geral</w:t>
            </w:r>
          </w:p>
        </w:tc>
        <w:tc>
          <w:tcPr>
            <w:tcW w:type="dxa" w:w="1909"/>
            <w:vAlign w:val="center"/>
          </w:tcPr>
          <w:p>
            <w:pPr>
              <w:spacing w:after="40" w:before="40"/>
            </w:pPr>
            <w:r>
              <w:rPr>
                <w:color w:val="183145"/>
                <w:sz w:val="14"/>
              </w:rPr>
              <w:t>82,9% do PIB</w:t>
            </w:r>
          </w:p>
        </w:tc>
        <w:tc>
          <w:tcPr>
            <w:tcW w:type="dxa" w:w="1909"/>
            <w:vAlign w:val="center"/>
          </w:tcPr>
          <w:p>
            <w:pPr>
              <w:spacing w:after="40" w:before="40"/>
            </w:pPr>
            <w:r>
              <w:rPr>
                <w:color w:val="183145"/>
                <w:sz w:val="14"/>
              </w:rPr>
              <w:t>ago/2026</w:t>
            </w:r>
          </w:p>
        </w:tc>
        <w:tc>
          <w:tcPr>
            <w:tcW w:type="dxa" w:w="1909"/>
            <w:vAlign w:val="center"/>
          </w:tcPr>
          <w:p>
            <w:pPr>
              <w:spacing w:after="40" w:before="40"/>
            </w:pPr>
            <w:r>
              <w:rPr>
                <w:color w:val="183145"/>
                <w:sz w:val="14"/>
              </w:rPr>
              <w:t>BCB [S05]</w:t>
            </w:r>
          </w:p>
        </w:tc>
        <w:tc>
          <w:tcPr>
            <w:tcW w:type="dxa" w:w="1909"/>
            <w:vAlign w:val="center"/>
          </w:tcPr>
          <w:p>
            <w:pPr>
              <w:spacing w:after="40" w:before="40"/>
            </w:pPr>
            <w:r>
              <w:rPr>
                <w:color w:val="183145"/>
                <w:sz w:val="14"/>
              </w:rPr>
              <w:t>F; conceito DBGG</w:t>
            </w:r>
          </w:p>
        </w:tc>
      </w:tr>
      <w:tr>
        <w:tc>
          <w:tcPr>
            <w:tcW w:type="dxa" w:w="1909"/>
            <w:vAlign w:val="center"/>
          </w:tcPr>
          <w:p>
            <w:pPr>
              <w:spacing w:after="40" w:before="40"/>
            </w:pPr>
            <w:r>
              <w:rPr>
                <w:color w:val="183145"/>
                <w:sz w:val="14"/>
              </w:rPr>
              <w:t>Carga tributária bruta governo geral</w:t>
            </w:r>
          </w:p>
        </w:tc>
        <w:tc>
          <w:tcPr>
            <w:tcW w:type="dxa" w:w="1909"/>
            <w:vAlign w:val="center"/>
          </w:tcPr>
          <w:p>
            <w:pPr>
              <w:spacing w:after="40" w:before="40"/>
            </w:pPr>
            <w:r>
              <w:rPr>
                <w:color w:val="183145"/>
                <w:sz w:val="14"/>
              </w:rPr>
              <w:t>32,40% do PIB</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STN [S07]</w:t>
            </w:r>
          </w:p>
        </w:tc>
        <w:tc>
          <w:tcPr>
            <w:tcW w:type="dxa" w:w="1909"/>
            <w:vAlign w:val="center"/>
          </w:tcPr>
          <w:p>
            <w:pPr>
              <w:spacing w:after="40" w:before="40"/>
            </w:pPr>
            <w:r>
              <w:rPr>
                <w:color w:val="183145"/>
                <w:sz w:val="14"/>
              </w:rPr>
              <w:t>E de apuração STN</w:t>
            </w:r>
          </w:p>
        </w:tc>
      </w:tr>
      <w:tr>
        <w:tc>
          <w:tcPr>
            <w:tcW w:type="dxa" w:w="1909"/>
            <w:vAlign w:val="center"/>
          </w:tcPr>
          <w:p>
            <w:pPr>
              <w:spacing w:after="40" w:before="40"/>
            </w:pPr>
            <w:r>
              <w:rPr>
                <w:color w:val="183145"/>
                <w:sz w:val="14"/>
              </w:rPr>
              <w:t>Exportações de bens</w:t>
            </w:r>
          </w:p>
        </w:tc>
        <w:tc>
          <w:tcPr>
            <w:tcW w:type="dxa" w:w="1909"/>
            <w:vAlign w:val="center"/>
          </w:tcPr>
          <w:p>
            <w:pPr>
              <w:spacing w:after="40" w:before="40"/>
            </w:pPr>
            <w:r>
              <w:rPr>
                <w:color w:val="183145"/>
                <w:sz w:val="14"/>
              </w:rPr>
              <w:t>US$ 284,65 bilhões</w:t>
            </w:r>
          </w:p>
        </w:tc>
        <w:tc>
          <w:tcPr>
            <w:tcW w:type="dxa" w:w="1909"/>
            <w:vAlign w:val="center"/>
          </w:tcPr>
          <w:p>
            <w:pPr>
              <w:spacing w:after="40" w:before="40"/>
            </w:pPr>
            <w:r>
              <w:rPr>
                <w:color w:val="183145"/>
                <w:sz w:val="14"/>
              </w:rPr>
              <w:t>jan–set/2026</w:t>
            </w:r>
          </w:p>
        </w:tc>
        <w:tc>
          <w:tcPr>
            <w:tcW w:type="dxa" w:w="1909"/>
            <w:vAlign w:val="center"/>
          </w:tcPr>
          <w:p>
            <w:pPr>
              <w:spacing w:after="40" w:before="40"/>
            </w:pPr>
            <w:r>
              <w:rPr>
                <w:color w:val="183145"/>
                <w:sz w:val="14"/>
              </w:rPr>
              <w:t>MDIC [S08]</w:t>
            </w:r>
          </w:p>
        </w:tc>
        <w:tc>
          <w:tcPr>
            <w:tcW w:type="dxa" w:w="1909"/>
            <w:vAlign w:val="center"/>
          </w:tcPr>
          <w:p>
            <w:pPr>
              <w:spacing w:after="40" w:before="40"/>
            </w:pPr>
            <w:r>
              <w:rPr>
                <w:color w:val="183145"/>
                <w:sz w:val="14"/>
              </w:rPr>
              <w:t>F administrativo</w:t>
            </w:r>
          </w:p>
        </w:tc>
      </w:tr>
      <w:tr>
        <w:tc>
          <w:tcPr>
            <w:tcW w:type="dxa" w:w="1909"/>
            <w:vAlign w:val="center"/>
          </w:tcPr>
          <w:p>
            <w:pPr>
              <w:spacing w:after="40" w:before="40"/>
            </w:pPr>
            <w:r>
              <w:rPr>
                <w:color w:val="183145"/>
                <w:sz w:val="14"/>
              </w:rPr>
              <w:t>Importações de bens</w:t>
            </w:r>
          </w:p>
        </w:tc>
        <w:tc>
          <w:tcPr>
            <w:tcW w:type="dxa" w:w="1909"/>
            <w:vAlign w:val="center"/>
          </w:tcPr>
          <w:p>
            <w:pPr>
              <w:spacing w:after="40" w:before="40"/>
            </w:pPr>
            <w:r>
              <w:rPr>
                <w:color w:val="183145"/>
                <w:sz w:val="14"/>
              </w:rPr>
              <w:t>US$ 222,26 bilhões</w:t>
            </w:r>
          </w:p>
        </w:tc>
        <w:tc>
          <w:tcPr>
            <w:tcW w:type="dxa" w:w="1909"/>
            <w:vAlign w:val="center"/>
          </w:tcPr>
          <w:p>
            <w:pPr>
              <w:spacing w:after="40" w:before="40"/>
            </w:pPr>
            <w:r>
              <w:rPr>
                <w:color w:val="183145"/>
                <w:sz w:val="14"/>
              </w:rPr>
              <w:t>jan–set/2026</w:t>
            </w:r>
          </w:p>
        </w:tc>
        <w:tc>
          <w:tcPr>
            <w:tcW w:type="dxa" w:w="1909"/>
            <w:vAlign w:val="center"/>
          </w:tcPr>
          <w:p>
            <w:pPr>
              <w:spacing w:after="40" w:before="40"/>
            </w:pPr>
            <w:r>
              <w:rPr>
                <w:color w:val="183145"/>
                <w:sz w:val="14"/>
              </w:rPr>
              <w:t>MDIC [S08]</w:t>
            </w:r>
          </w:p>
        </w:tc>
        <w:tc>
          <w:tcPr>
            <w:tcW w:type="dxa" w:w="1909"/>
            <w:vAlign w:val="center"/>
          </w:tcPr>
          <w:p>
            <w:pPr>
              <w:spacing w:after="40" w:before="40"/>
            </w:pPr>
            <w:r>
              <w:rPr>
                <w:color w:val="183145"/>
                <w:sz w:val="14"/>
              </w:rPr>
              <w:t>F administrativo</w:t>
            </w:r>
          </w:p>
        </w:tc>
      </w:tr>
      <w:tr>
        <w:tc>
          <w:tcPr>
            <w:tcW w:type="dxa" w:w="1909"/>
            <w:vAlign w:val="center"/>
          </w:tcPr>
          <w:p>
            <w:pPr>
              <w:spacing w:after="40" w:before="40"/>
            </w:pPr>
            <w:r>
              <w:rPr>
                <w:color w:val="183145"/>
                <w:sz w:val="14"/>
              </w:rPr>
              <w:t>Saldo comercial de bens</w:t>
            </w:r>
          </w:p>
        </w:tc>
        <w:tc>
          <w:tcPr>
            <w:tcW w:type="dxa" w:w="1909"/>
            <w:vAlign w:val="center"/>
          </w:tcPr>
          <w:p>
            <w:pPr>
              <w:spacing w:after="40" w:before="40"/>
            </w:pPr>
            <w:r>
              <w:rPr>
                <w:color w:val="183145"/>
                <w:sz w:val="14"/>
              </w:rPr>
              <w:t>US$ 62,40 bilhões</w:t>
            </w:r>
          </w:p>
        </w:tc>
        <w:tc>
          <w:tcPr>
            <w:tcW w:type="dxa" w:w="1909"/>
            <w:vAlign w:val="center"/>
          </w:tcPr>
          <w:p>
            <w:pPr>
              <w:spacing w:after="40" w:before="40"/>
            </w:pPr>
            <w:r>
              <w:rPr>
                <w:color w:val="183145"/>
                <w:sz w:val="14"/>
              </w:rPr>
              <w:t>jan–set/2026</w:t>
            </w:r>
          </w:p>
        </w:tc>
        <w:tc>
          <w:tcPr>
            <w:tcW w:type="dxa" w:w="1909"/>
            <w:vAlign w:val="center"/>
          </w:tcPr>
          <w:p>
            <w:pPr>
              <w:spacing w:after="40" w:before="40"/>
            </w:pPr>
            <w:r>
              <w:rPr>
                <w:color w:val="183145"/>
                <w:sz w:val="14"/>
              </w:rPr>
              <w:t>MDIC [S08]</w:t>
            </w:r>
          </w:p>
        </w:tc>
        <w:tc>
          <w:tcPr>
            <w:tcW w:type="dxa" w:w="1909"/>
            <w:vAlign w:val="center"/>
          </w:tcPr>
          <w:p>
            <w:pPr>
              <w:spacing w:after="40" w:before="40"/>
            </w:pPr>
            <w:r>
              <w:rPr>
                <w:color w:val="183145"/>
                <w:sz w:val="14"/>
              </w:rPr>
              <w:t>F; não é saldo de conta corrente</w:t>
            </w:r>
          </w:p>
        </w:tc>
      </w:tr>
      <w:tr>
        <w:tc>
          <w:tcPr>
            <w:tcW w:type="dxa" w:w="1909"/>
            <w:vAlign w:val="center"/>
          </w:tcPr>
          <w:p>
            <w:pPr>
              <w:spacing w:after="40" w:before="40"/>
            </w:pPr>
            <w:r>
              <w:rPr>
                <w:color w:val="183145"/>
                <w:sz w:val="14"/>
              </w:rPr>
              <w:t>Pobreza monetária, linha internacional usada pelo IBGE</w:t>
            </w:r>
          </w:p>
        </w:tc>
        <w:tc>
          <w:tcPr>
            <w:tcW w:type="dxa" w:w="1909"/>
            <w:vAlign w:val="center"/>
          </w:tcPr>
          <w:p>
            <w:pPr>
              <w:spacing w:after="40" w:before="40"/>
            </w:pPr>
            <w:r>
              <w:rPr>
                <w:color w:val="183145"/>
                <w:sz w:val="14"/>
              </w:rPr>
              <w:t>23,1% da população</w:t>
            </w:r>
          </w:p>
        </w:tc>
        <w:tc>
          <w:tcPr>
            <w:tcW w:type="dxa" w:w="1909"/>
            <w:vAlign w:val="center"/>
          </w:tcPr>
          <w:p>
            <w:pPr>
              <w:spacing w:after="40" w:before="40"/>
            </w:pPr>
            <w:r>
              <w:rPr>
                <w:color w:val="183145"/>
                <w:sz w:val="14"/>
              </w:rPr>
              <w:t>2024</w:t>
            </w:r>
          </w:p>
        </w:tc>
        <w:tc>
          <w:tcPr>
            <w:tcW w:type="dxa" w:w="1909"/>
            <w:vAlign w:val="center"/>
          </w:tcPr>
          <w:p>
            <w:pPr>
              <w:spacing w:after="40" w:before="40"/>
            </w:pPr>
            <w:r>
              <w:rPr>
                <w:color w:val="183145"/>
                <w:sz w:val="14"/>
              </w:rPr>
              <w:t>IBGE [S09]</w:t>
            </w:r>
          </w:p>
        </w:tc>
        <w:tc>
          <w:tcPr>
            <w:tcW w:type="dxa" w:w="1909"/>
            <w:vAlign w:val="center"/>
          </w:tcPr>
          <w:p>
            <w:pPr>
              <w:spacing w:after="40" w:before="40"/>
            </w:pPr>
            <w:r>
              <w:rPr>
                <w:color w:val="183145"/>
                <w:sz w:val="14"/>
              </w:rPr>
              <w:t>E amostral; linha US$ 6,85 PPC de referência do estudo</w:t>
            </w:r>
          </w:p>
        </w:tc>
      </w:tr>
      <w:tr>
        <w:tc>
          <w:tcPr>
            <w:tcW w:type="dxa" w:w="1909"/>
            <w:vAlign w:val="center"/>
          </w:tcPr>
          <w:p>
            <w:pPr>
              <w:spacing w:after="40" w:before="40"/>
            </w:pPr>
            <w:r>
              <w:rPr>
                <w:color w:val="183145"/>
                <w:sz w:val="14"/>
              </w:rPr>
              <w:t>IDEB anos iniciais, todas as redes</w:t>
            </w:r>
          </w:p>
        </w:tc>
        <w:tc>
          <w:tcPr>
            <w:tcW w:type="dxa" w:w="1909"/>
            <w:vAlign w:val="center"/>
          </w:tcPr>
          <w:p>
            <w:pPr>
              <w:spacing w:after="40" w:before="40"/>
            </w:pPr>
            <w:r>
              <w:rPr>
                <w:color w:val="183145"/>
                <w:sz w:val="14"/>
              </w:rPr>
              <w:t>6,3 de 10</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INEP [S10]</w:t>
            </w:r>
          </w:p>
        </w:tc>
        <w:tc>
          <w:tcPr>
            <w:tcW w:type="dxa" w:w="1909"/>
            <w:vAlign w:val="center"/>
          </w:tcPr>
          <w:p>
            <w:pPr>
              <w:spacing w:after="40" w:before="40"/>
            </w:pPr>
            <w:r>
              <w:rPr>
                <w:color w:val="183145"/>
                <w:sz w:val="14"/>
              </w:rPr>
              <w:t>F; 6,0 em 2023</w:t>
            </w:r>
          </w:p>
        </w:tc>
      </w:tr>
      <w:tr>
        <w:tc>
          <w:tcPr>
            <w:tcW w:type="dxa" w:w="1909"/>
            <w:vAlign w:val="center"/>
          </w:tcPr>
          <w:p>
            <w:pPr>
              <w:spacing w:after="40" w:before="40"/>
            </w:pPr>
            <w:r>
              <w:rPr>
                <w:color w:val="183145"/>
                <w:sz w:val="14"/>
              </w:rPr>
              <w:t>IDEB anos finais, todas as redes</w:t>
            </w:r>
          </w:p>
        </w:tc>
        <w:tc>
          <w:tcPr>
            <w:tcW w:type="dxa" w:w="1909"/>
            <w:vAlign w:val="center"/>
          </w:tcPr>
          <w:p>
            <w:pPr>
              <w:spacing w:after="40" w:before="40"/>
            </w:pPr>
            <w:r>
              <w:rPr>
                <w:color w:val="183145"/>
                <w:sz w:val="14"/>
              </w:rPr>
              <w:t>5,3 de 10</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INEP [S10]</w:t>
            </w:r>
          </w:p>
        </w:tc>
        <w:tc>
          <w:tcPr>
            <w:tcW w:type="dxa" w:w="1909"/>
            <w:vAlign w:val="center"/>
          </w:tcPr>
          <w:p>
            <w:pPr>
              <w:spacing w:after="40" w:before="40"/>
            </w:pPr>
            <w:r>
              <w:rPr>
                <w:color w:val="183145"/>
                <w:sz w:val="14"/>
              </w:rPr>
              <w:t>F; 5,0 em 2023</w:t>
            </w:r>
          </w:p>
        </w:tc>
      </w:tr>
      <w:tr>
        <w:tc>
          <w:tcPr>
            <w:tcW w:type="dxa" w:w="1909"/>
            <w:vAlign w:val="center"/>
          </w:tcPr>
          <w:p>
            <w:pPr>
              <w:spacing w:after="40" w:before="40"/>
            </w:pPr>
            <w:r>
              <w:rPr>
                <w:color w:val="183145"/>
                <w:sz w:val="14"/>
              </w:rPr>
              <w:t>IDEB ensino médio, todas as redes</w:t>
            </w:r>
          </w:p>
        </w:tc>
        <w:tc>
          <w:tcPr>
            <w:tcW w:type="dxa" w:w="1909"/>
            <w:vAlign w:val="center"/>
          </w:tcPr>
          <w:p>
            <w:pPr>
              <w:spacing w:after="40" w:before="40"/>
            </w:pPr>
            <w:r>
              <w:rPr>
                <w:color w:val="183145"/>
                <w:sz w:val="14"/>
              </w:rPr>
              <w:t>4,5 de 10</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INEP [S10]</w:t>
            </w:r>
          </w:p>
        </w:tc>
        <w:tc>
          <w:tcPr>
            <w:tcW w:type="dxa" w:w="1909"/>
            <w:vAlign w:val="center"/>
          </w:tcPr>
          <w:p>
            <w:pPr>
              <w:spacing w:after="40" w:before="40"/>
            </w:pPr>
            <w:r>
              <w:rPr>
                <w:color w:val="183145"/>
                <w:sz w:val="14"/>
              </w:rPr>
              <w:t>F; 4,3 em 2023</w:t>
            </w:r>
          </w:p>
        </w:tc>
      </w:tr>
      <w:tr>
        <w:tc>
          <w:tcPr>
            <w:tcW w:type="dxa" w:w="1909"/>
            <w:vAlign w:val="center"/>
          </w:tcPr>
          <w:p>
            <w:pPr>
              <w:spacing w:after="40" w:before="40"/>
            </w:pPr>
            <w:r>
              <w:rPr>
                <w:color w:val="183145"/>
                <w:sz w:val="14"/>
              </w:rPr>
              <w:t>Mortes violentas intencionais</w:t>
            </w:r>
          </w:p>
        </w:tc>
        <w:tc>
          <w:tcPr>
            <w:tcW w:type="dxa" w:w="1909"/>
            <w:vAlign w:val="center"/>
          </w:tcPr>
          <w:p>
            <w:pPr>
              <w:spacing w:after="40" w:before="40"/>
            </w:pPr>
            <w:r>
              <w:rPr>
                <w:color w:val="183145"/>
                <w:sz w:val="14"/>
              </w:rPr>
              <w:t>40.775 casos</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FBSP [S11]</w:t>
            </w:r>
          </w:p>
        </w:tc>
        <w:tc>
          <w:tcPr>
            <w:tcW w:type="dxa" w:w="1909"/>
            <w:vAlign w:val="center"/>
          </w:tcPr>
          <w:p>
            <w:pPr>
              <w:spacing w:after="40" w:before="40"/>
            </w:pPr>
            <w:r>
              <w:rPr>
                <w:color w:val="183145"/>
                <w:sz w:val="14"/>
              </w:rPr>
              <w:t>F compilado; categoria MVI</w:t>
            </w:r>
          </w:p>
        </w:tc>
      </w:tr>
      <w:tr>
        <w:tc>
          <w:tcPr>
            <w:tcW w:type="dxa" w:w="1909"/>
            <w:vAlign w:val="center"/>
          </w:tcPr>
          <w:p>
            <w:pPr>
              <w:spacing w:after="40" w:before="40"/>
            </w:pPr>
            <w:r>
              <w:rPr>
                <w:color w:val="183145"/>
                <w:sz w:val="14"/>
              </w:rPr>
              <w:t>Taxa MVI</w:t>
            </w:r>
          </w:p>
        </w:tc>
        <w:tc>
          <w:tcPr>
            <w:tcW w:type="dxa" w:w="1909"/>
            <w:vAlign w:val="center"/>
          </w:tcPr>
          <w:p>
            <w:pPr>
              <w:spacing w:after="40" w:before="40"/>
            </w:pPr>
            <w:r>
              <w:rPr>
                <w:color w:val="183145"/>
                <w:sz w:val="14"/>
              </w:rPr>
              <w:t>19,1 por 100 mil</w:t>
            </w:r>
          </w:p>
        </w:tc>
        <w:tc>
          <w:tcPr>
            <w:tcW w:type="dxa" w:w="1909"/>
            <w:vAlign w:val="center"/>
          </w:tcPr>
          <w:p>
            <w:pPr>
              <w:spacing w:after="40" w:before="40"/>
            </w:pPr>
            <w:r>
              <w:rPr>
                <w:color w:val="183145"/>
                <w:sz w:val="14"/>
              </w:rPr>
              <w:t>2025</w:t>
            </w:r>
          </w:p>
        </w:tc>
        <w:tc>
          <w:tcPr>
            <w:tcW w:type="dxa" w:w="1909"/>
            <w:vAlign w:val="center"/>
          </w:tcPr>
          <w:p>
            <w:pPr>
              <w:spacing w:after="40" w:before="40"/>
            </w:pPr>
            <w:r>
              <w:rPr>
                <w:color w:val="183145"/>
                <w:sz w:val="14"/>
              </w:rPr>
              <w:t>FBSP [S11]</w:t>
            </w:r>
          </w:p>
        </w:tc>
        <w:tc>
          <w:tcPr>
            <w:tcW w:type="dxa" w:w="1909"/>
            <w:vAlign w:val="center"/>
          </w:tcPr>
          <w:p>
            <w:pPr>
              <w:spacing w:after="40" w:before="40"/>
            </w:pPr>
            <w:r>
              <w:rPr>
                <w:color w:val="183145"/>
                <w:sz w:val="14"/>
              </w:rPr>
              <w:t>F compilado; diferentes de apenas homicídios dolosos</w:t>
            </w:r>
          </w:p>
        </w:tc>
      </w:tr>
      <w:tr>
        <w:tc>
          <w:tcPr>
            <w:tcW w:type="dxa" w:w="1909"/>
            <w:vAlign w:val="center"/>
          </w:tcPr>
          <w:p>
            <w:pPr>
              <w:spacing w:after="40" w:before="40"/>
            </w:pPr>
            <w:r>
              <w:rPr>
                <w:color w:val="183145"/>
                <w:sz w:val="14"/>
              </w:rPr>
              <w:t>Desmatamento Amazônia PRODES</w:t>
            </w:r>
          </w:p>
        </w:tc>
        <w:tc>
          <w:tcPr>
            <w:tcW w:type="dxa" w:w="1909"/>
            <w:vAlign w:val="center"/>
          </w:tcPr>
          <w:p>
            <w:pPr>
              <w:spacing w:after="40" w:before="40"/>
            </w:pPr>
            <w:r>
              <w:rPr>
                <w:color w:val="183145"/>
                <w:sz w:val="14"/>
              </w:rPr>
              <w:t>3.335 km²</w:t>
            </w:r>
          </w:p>
        </w:tc>
        <w:tc>
          <w:tcPr>
            <w:tcW w:type="dxa" w:w="1909"/>
            <w:vAlign w:val="center"/>
          </w:tcPr>
          <w:p>
            <w:pPr>
              <w:spacing w:after="40" w:before="40"/>
            </w:pPr>
            <w:r>
              <w:rPr>
                <w:color w:val="183145"/>
                <w:sz w:val="14"/>
              </w:rPr>
              <w:t>ago/2025–jul/2026</w:t>
            </w:r>
          </w:p>
        </w:tc>
        <w:tc>
          <w:tcPr>
            <w:tcW w:type="dxa" w:w="1909"/>
            <w:vAlign w:val="center"/>
          </w:tcPr>
          <w:p>
            <w:pPr>
              <w:spacing w:after="40" w:before="40"/>
            </w:pPr>
            <w:r>
              <w:rPr>
                <w:color w:val="183145"/>
                <w:sz w:val="14"/>
              </w:rPr>
              <w:t>INPE [S12]</w:t>
            </w:r>
          </w:p>
        </w:tc>
        <w:tc>
          <w:tcPr>
            <w:tcW w:type="dxa" w:w="1909"/>
            <w:vAlign w:val="center"/>
          </w:tcPr>
          <w:p>
            <w:pPr>
              <w:spacing w:after="40" w:before="40"/>
            </w:pPr>
            <w:r>
              <w:rPr>
                <w:color w:val="183145"/>
                <w:sz w:val="14"/>
              </w:rPr>
              <w:t>E preliminar, sujeita a consolidação</w:t>
            </w:r>
          </w:p>
        </w:tc>
      </w:tr>
      <w:tr>
        <w:tc>
          <w:tcPr>
            <w:tcW w:type="dxa" w:w="1909"/>
            <w:vAlign w:val="center"/>
          </w:tcPr>
          <w:p>
            <w:pPr>
              <w:spacing w:after="40" w:before="40"/>
            </w:pPr>
            <w:r>
              <w:rPr>
                <w:color w:val="183145"/>
                <w:sz w:val="14"/>
              </w:rPr>
              <w:t>Desmatamento Cerrado PRODES</w:t>
            </w:r>
          </w:p>
        </w:tc>
        <w:tc>
          <w:tcPr>
            <w:tcW w:type="dxa" w:w="1909"/>
            <w:vAlign w:val="center"/>
          </w:tcPr>
          <w:p>
            <w:pPr>
              <w:spacing w:after="40" w:before="40"/>
            </w:pPr>
            <w:r>
              <w:rPr>
                <w:color w:val="183145"/>
                <w:sz w:val="14"/>
              </w:rPr>
              <w:t>5.516,69 km²</w:t>
            </w:r>
          </w:p>
        </w:tc>
        <w:tc>
          <w:tcPr>
            <w:tcW w:type="dxa" w:w="1909"/>
            <w:vAlign w:val="center"/>
          </w:tcPr>
          <w:p>
            <w:pPr>
              <w:spacing w:after="40" w:before="40"/>
            </w:pPr>
            <w:r>
              <w:rPr>
                <w:color w:val="183145"/>
                <w:sz w:val="14"/>
              </w:rPr>
              <w:t>ago/2025–jul/2026</w:t>
            </w:r>
          </w:p>
        </w:tc>
        <w:tc>
          <w:tcPr>
            <w:tcW w:type="dxa" w:w="1909"/>
            <w:vAlign w:val="center"/>
          </w:tcPr>
          <w:p>
            <w:pPr>
              <w:spacing w:after="40" w:before="40"/>
            </w:pPr>
            <w:r>
              <w:rPr>
                <w:color w:val="183145"/>
                <w:sz w:val="14"/>
              </w:rPr>
              <w:t>INPE [S12]</w:t>
            </w:r>
          </w:p>
        </w:tc>
        <w:tc>
          <w:tcPr>
            <w:tcW w:type="dxa" w:w="1909"/>
            <w:vAlign w:val="center"/>
          </w:tcPr>
          <w:p>
            <w:pPr>
              <w:spacing w:after="40" w:before="40"/>
            </w:pPr>
            <w:r>
              <w:rPr>
                <w:color w:val="183145"/>
                <w:sz w:val="14"/>
              </w:rPr>
              <w:t>E preliminar, sujeita a consolidação</w:t>
            </w:r>
          </w:p>
        </w:tc>
      </w:tr>
    </w:tbl>
    <w:p/>
    <w:p>
      <w:r>
        <w:t>Outros indicadores necessários — câmbio nominal de referência, taxa de investimento, informalidade nacional mais recente, produtividade por hora, Gini, déficit habitacional revisado, cobertura de esgoto, insegurança alimentar, tempo médio para cirurgia, tamanho da força de trabalho em IA e gasto militar — demandam extração de séries/metodologias específicas. Não foram aqui convertidos em números isolados sem verificação. Serão monitorados no gabinete de estatística proposto com IBGE, BCB, SINISA, Ipea, DATASUS, Pnad e outras fontes; a falta do número neste quadro não significa ausência do problema.</w:t>
      </w:r>
    </w:p>
    <w:p>
      <w:pPr>
        <w:pStyle w:val="Heading1"/>
      </w:pPr>
      <w:r>
        <w:t>3. Economia: forças e fragilidades</w:t>
      </w:r>
    </w:p>
    <w:p>
      <w:r>
        <w:t>[F] A economia voltou a crescer em 2025, mas a taxa acumulada em quatro trimestres era de 1,9% ao fim do segundo trimestre de 2026 [S01]. A desocupação de 5,3% no trimestre até agosto convive com 13,1% de subutilização [S06]. Não se pode inferir automaticamente elevação de produtividade a partir do desemprego baixo: composição ocupacional, horas trabalhadas, capital e informalidade importam. A inflação de 4,58% em 12 meses até setembro e a Selic de 13,75% em setembro restringem crédito e ampliam o custo financeiro [S02–S03].</w:t>
      </w:r>
    </w:p>
    <w:p>
      <w:r>
        <w:t>[F] O Governo Central somou déficit primário de R$ 94,9 bilhões no acumulado janeiro–agosto de 2026 [S04]; a DBGG alcançou 82,9% do PIB em agosto [S05]. Dívida bruta não equivale à dívida líquida e déficit primário não inclui juros. [I] A combinação de juros elevados e rigidez orçamentária exige que novos projetos tenham custo plurianual e avaliação de retorno social, em vez de multiplicar subsídios.</w:t>
      </w:r>
    </w:p>
    <w:p>
      <w:r>
        <w:t>[F] O comércio de bens teve superávit de US$ 62,4 bilhões de janeiro a setembro [S08], mas saldo de mercadorias não elimina exposição a preços de commodities, importação de equipamentos críticos ou déficit em serviços. [I] Uma agenda produtiva deve apoiar a competitividade com educação, energia, logística, concorrência, pesquisa e acesso a mercados — não somente elevar tarifas. [H] O cenário central do orçamento supõe estabilidade institucional, sem fixar câmbio nem juros que cabem ao mercado e ao Banco Central.</w:t>
      </w:r>
    </w:p>
    <w:p>
      <w:pPr>
        <w:pStyle w:val="Heading1"/>
      </w:pPr>
      <w:r>
        <w:t>4. Sociedade, pobreza e geografia das oportunidades</w:t>
      </w:r>
    </w:p>
    <w:p>
      <w:r>
        <w:t>[F] A Síntese de Indicadores Sociais divulgada em dezembro de 2025 indicou que 23,1% da população estava abaixo da linha de pobreza internacional adotada para o estudo em 2024, após queda ante 2023 [S09]. Linhas de pobreza dependem da definição e não se confundem com cadastros administrativos. A redução é relevante; não autoriza dizer que a pobreza desapareceu. [I] Renda do trabalho sustentável e proteção social são complementares, não substitutos.</w:t>
      </w:r>
    </w:p>
    <w:p>
      <w:r>
        <w:t>Moradia e saneamento ainda dependem intensamente do território. O SINISA 2025 compila dados de 2024 [S13]; sua avaliação deve separar domicílios, população, conexão, coleta, tratamento de esgoto e soluções individuais. Não se deve somar percentuais de água e esgoto com denominadores diferentes. A crise climática agrava enchentes no Sul/Sudeste e secas no semiárido e na Amazônia, com custos para agricultura, saúde e transporte.</w:t>
      </w:r>
    </w:p>
    <w:p>
      <w:r>
        <w:t>Envelhecimento populacional modifica o balanço entre contribuintes e beneficiários previdenciários e exige políticas de cuidado, educação continuada e inclusão produtiva de trabalhadores maduros. Diferenças de raça, gênero, deficiência, juventude e município de nascimento influenciam acesso a oportunidades. A política proposta mede resultados por município e por grupos agregados, sem atribuir causalidade simplista a diferenças estatísticas.</w:t>
      </w:r>
    </w:p>
    <w:p>
      <w:pPr>
        <w:pStyle w:val="Heading1"/>
      </w:pPr>
      <w:r>
        <w:t>5. SUS, educação, segurança e infraestrutura</w:t>
      </w:r>
    </w:p>
    <w:p>
      <w:r>
        <w:t>O SUS é uma rede pública universal organizada com direção única em cada esfera e execução descentralizada; o presidente não administra diretamente todos os hospitais municipais. A prioridade federal será pactuar financiamento e produção assistencial, com fila auditável, protocolos clínicos e atenção primária como porta preferencial. Indicadores de espera precisam de base padronizada antes de metas nacionais.</w:t>
      </w:r>
    </w:p>
    <w:p>
      <w:r>
        <w:t>[F] O IDEB de 2025 melhorou para 6,3 nos anos iniciais, 5,3 nos finais e 4,5 no ensino médio, considerando redes públicas e privadas [S10]. O progresso não elimina a baixa proficiência em matemática e as disparidades. Estados e municípios executam grande parte da educação básica; a União deve induzir cooperação, formação docente e apoio técnico, medindo fluência leitora, frequência e aprendizado.</w:t>
      </w:r>
    </w:p>
    <w:p>
      <w:r>
        <w:t>[F] O FBSP computou 40.775 mortes violentas intencionais em 2025, ou 19,1 por 100 mil habitantes, queda de 8,2% ante 2024 [S11]. A categoria MVI agrega modalidades distintas; não é sinônimo restrito de homicídios dolosos. A mesma fonte alerta para aumento de diversas formas de violência contra mulheres e crianças. [I] A política não será só repressão territorial: as facções necessitam redes financeiras e logísticas, e a proteção das vítimas depende de investigação e atendimento.</w:t>
      </w:r>
    </w:p>
    <w:p>
      <w:r>
        <w:t>Transportes, portos, ferrovias, manutenção rodoviária, conectividade, linhas de transmissão e drenagem requerem planejamento de carteira e licenciamento adequado. Investimentos públicos e privados não podem ser somados como se fossem despesas da União; o custo de garantias e contraprestações de PPPs deve aparecer no orçamento e no relatório de riscos.</w:t>
      </w:r>
    </w:p>
    <w:p>
      <w:pPr>
        <w:pStyle w:val="Heading1"/>
      </w:pPr>
      <w:r>
        <w:t>6. Instituições, inovação e ambiente</w:t>
      </w:r>
    </w:p>
    <w:p>
      <w:r>
        <w:t>[I] A separação de Poderes é mecanismo de controle, não um obstáculo a contornar. Emendas orçamentárias precisam de rastreabilidade, a administração deve publicar contratos e dados abertos, e corrupção deve ser investigada com devido processo. O federalismo brasileiro impede soluções exclusivamente presidenciais para educação, saneamento, segurança e planejamento urbano. A reforma do consumo já tem transição constitucional [S20]; o governo não deve fingir que pode reiniciá-la por decreto.</w:t>
      </w:r>
    </w:p>
    <w:p>
      <w:r>
        <w:t>[E] O INPE divulgou para agosto/2025–julho/2026 estimativas de 3.335 km² desmatados na Amazônia e 5.516,69 km² no Cerrado, quedas ante o período anterior [S12]. A consolidação pode revisar valores; reduções devem ser reconhecidas sem assumir que fiscalização futura se tornou desnecessária. A fronteira produtiva relevante é elevar valor agregado com rastreabilidade, recuperação de solo e inovação em bioeconomia.</w:t>
      </w:r>
    </w:p>
    <w:p>
      <w:r>
        <w:t>Inteligência artificial, biotecnologia, semicondutores e pesquisa pública oferecem oportunidades. Porém o Brasil não transformará imediatamente toda sua cadeia tecnológica em produção nacional. O primeiro passo é mapear capacidades, formar pessoas, licitar soluções interoperáveis, cofinanciar projetos demonstradores e proteger dados pessoais sob a LGPD [S19]. Defesa digital inclui infraestrutura pública, hospitais, escolas e operadores de infraestrutura crítica.</w:t>
      </w:r>
    </w:p>
    <w:p>
      <w:pPr>
        <w:pStyle w:val="Heading1"/>
      </w:pPr>
      <w:r>
        <w:t>7. Conjuntura e posição internacional do Brasil</w:t>
      </w:r>
    </w:p>
    <w:p>
      <w:r>
        <w:t>EUA, China e União Europeia são polos de mercado, tecnologia e normatividade; a relação deve combinar exportações, investimento e gestão de conflitos comerciais. A China é central à demanda por commodities e equipamentos; os EUA à pesquisa, finanças e tecnologia; a UE a padrões industriais, meio ambiente e comércio. O Mercosul permanece ferramenta econômica e diplomática, mas precisa reduzir barreiras práticas. A África oferece vínculos históricos e oportunidades em saúde, serviços, agricultura tropical e educação; cooperação deve evitar tutela.</w:t>
      </w:r>
    </w:p>
    <w:p>
      <w:r>
        <w:t>[I] O Brasil deve praticar autonomia de julgamento: não celebrar agressões, não aderir automaticamente a blocos militares, não trocar princípios por contratos e não romper comércio por retórica. Para guerras e violações humanitárias, a posição deve partir da Carta da ONU, do direito internacional humanitário e de interesses concretos brasileiros. Decisões sobre sanções dependem de base jurídica, devido processo e coordenação multilateral.</w:t>
      </w:r>
    </w:p>
    <w:p>
      <w:pPr>
        <w:pStyle w:val="Heading1"/>
      </w:pPr>
      <w:r>
        <w:t>8. Quinze problemas estruturais priorizados</w:t>
      </w:r>
    </w:p>
    <w:tbl>
      <w:tblPr>
        <w:tblStyle w:val="TableGrid"/>
        <w:tblW w:type="auto" w:w="0"/>
        <w:jc w:val="center"/>
        <w:tblLook w:firstColumn="1" w:firstRow="1" w:lastColumn="0" w:lastRow="0" w:noHBand="0" w:noVBand="1" w:val="04A0"/>
      </w:tblPr>
      <w:tblGrid>
        <w:gridCol w:w="1909"/>
        <w:gridCol w:w="1909"/>
        <w:gridCol w:w="1909"/>
        <w:gridCol w:w="1909"/>
        <w:gridCol w:w="1909"/>
      </w:tblGrid>
      <w:tr>
        <w:trPr>
          <w:tblHeader w:val="true"/>
        </w:trPr>
        <w:tc>
          <w:tcPr>
            <w:tcW w:type="dxa" w:w="1909"/>
            <w:shd w:fill="183145"/>
          </w:tcPr>
          <w:p>
            <w:r>
              <w:rPr>
                <w:b/>
                <w:color w:val="FFFFFF"/>
                <w:sz w:val="15"/>
              </w:rPr>
              <w:t>#</w:t>
            </w:r>
          </w:p>
        </w:tc>
        <w:tc>
          <w:tcPr>
            <w:tcW w:type="dxa" w:w="1909"/>
            <w:shd w:fill="183145"/>
          </w:tcPr>
          <w:p>
            <w:r>
              <w:rPr>
                <w:b/>
                <w:color w:val="FFFFFF"/>
                <w:sz w:val="15"/>
              </w:rPr>
              <w:t>Problema</w:t>
            </w:r>
          </w:p>
        </w:tc>
        <w:tc>
          <w:tcPr>
            <w:tcW w:type="dxa" w:w="1909"/>
            <w:shd w:fill="183145"/>
          </w:tcPr>
          <w:p>
            <w:r>
              <w:rPr>
                <w:b/>
                <w:color w:val="FFFFFF"/>
                <w:sz w:val="15"/>
              </w:rPr>
              <w:t>Urgência</w:t>
            </w:r>
          </w:p>
        </w:tc>
        <w:tc>
          <w:tcPr>
            <w:tcW w:type="dxa" w:w="1909"/>
            <w:shd w:fill="183145"/>
          </w:tcPr>
          <w:p>
            <w:r>
              <w:rPr>
                <w:b/>
                <w:color w:val="FFFFFF"/>
                <w:sz w:val="15"/>
              </w:rPr>
              <w:t>Impacto</w:t>
            </w:r>
          </w:p>
        </w:tc>
        <w:tc>
          <w:tcPr>
            <w:tcW w:type="dxa" w:w="1909"/>
            <w:shd w:fill="183145"/>
          </w:tcPr>
          <w:p>
            <w:r>
              <w:rPr>
                <w:b/>
                <w:color w:val="FFFFFF"/>
                <w:sz w:val="15"/>
              </w:rPr>
              <w:t>Alçada presidencial</w:t>
            </w:r>
          </w:p>
        </w:tc>
      </w:tr>
      <w:tr>
        <w:tc>
          <w:tcPr>
            <w:tcW w:type="dxa" w:w="1909"/>
            <w:vAlign w:val="center"/>
          </w:tcPr>
          <w:p>
            <w:pPr>
              <w:spacing w:after="40" w:before="40"/>
            </w:pPr>
            <w:r>
              <w:rPr>
                <w:color w:val="183145"/>
                <w:sz w:val="15"/>
              </w:rPr>
              <w:t>1</w:t>
            </w:r>
          </w:p>
        </w:tc>
        <w:tc>
          <w:tcPr>
            <w:tcW w:type="dxa" w:w="1909"/>
            <w:vAlign w:val="center"/>
          </w:tcPr>
          <w:p>
            <w:pPr>
              <w:spacing w:after="40" w:before="40"/>
            </w:pPr>
            <w:r>
              <w:rPr>
                <w:color w:val="183145"/>
                <w:sz w:val="15"/>
              </w:rPr>
              <w:t>Baixa aprendizagem e alfabetização desigual</w:t>
            </w:r>
          </w:p>
        </w:tc>
        <w:tc>
          <w:tcPr>
            <w:tcW w:type="dxa" w:w="1909"/>
            <w:vAlign w:val="center"/>
          </w:tcPr>
          <w:p>
            <w:pPr>
              <w:spacing w:after="40" w:before="40"/>
            </w:pPr>
            <w:r>
              <w:rPr>
                <w:color w:val="183145"/>
                <w:sz w:val="15"/>
              </w:rPr>
              <w:t>Muito 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Alta, via pactuação e financiamento</w:t>
            </w:r>
          </w:p>
        </w:tc>
      </w:tr>
      <w:tr>
        <w:tc>
          <w:tcPr>
            <w:tcW w:type="dxa" w:w="1909"/>
            <w:vAlign w:val="center"/>
          </w:tcPr>
          <w:p>
            <w:pPr>
              <w:spacing w:after="40" w:before="40"/>
            </w:pPr>
            <w:r>
              <w:rPr>
                <w:color w:val="183145"/>
                <w:sz w:val="15"/>
              </w:rPr>
              <w:t>2</w:t>
            </w:r>
          </w:p>
        </w:tc>
        <w:tc>
          <w:tcPr>
            <w:tcW w:type="dxa" w:w="1909"/>
            <w:vAlign w:val="center"/>
          </w:tcPr>
          <w:p>
            <w:pPr>
              <w:spacing w:after="40" w:before="40"/>
            </w:pPr>
            <w:r>
              <w:rPr>
                <w:color w:val="183145"/>
                <w:sz w:val="15"/>
              </w:rPr>
              <w:t>Rigidez fiscal e trajetória da dívida</w:t>
            </w:r>
          </w:p>
        </w:tc>
        <w:tc>
          <w:tcPr>
            <w:tcW w:type="dxa" w:w="1909"/>
            <w:vAlign w:val="center"/>
          </w:tcPr>
          <w:p>
            <w:pPr>
              <w:spacing w:after="40" w:before="40"/>
            </w:pPr>
            <w:r>
              <w:rPr>
                <w:color w:val="183145"/>
                <w:sz w:val="15"/>
              </w:rPr>
              <w:t>Muito 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 Congresso e juros importam</w:t>
            </w:r>
          </w:p>
        </w:tc>
      </w:tr>
      <w:tr>
        <w:tc>
          <w:tcPr>
            <w:tcW w:type="dxa" w:w="1909"/>
            <w:vAlign w:val="center"/>
          </w:tcPr>
          <w:p>
            <w:pPr>
              <w:spacing w:after="40" w:before="40"/>
            </w:pPr>
            <w:r>
              <w:rPr>
                <w:color w:val="183145"/>
                <w:sz w:val="15"/>
              </w:rPr>
              <w:t>3</w:t>
            </w:r>
          </w:p>
        </w:tc>
        <w:tc>
          <w:tcPr>
            <w:tcW w:type="dxa" w:w="1909"/>
            <w:vAlign w:val="center"/>
          </w:tcPr>
          <w:p>
            <w:pPr>
              <w:spacing w:after="40" w:before="40"/>
            </w:pPr>
            <w:r>
              <w:rPr>
                <w:color w:val="183145"/>
                <w:sz w:val="15"/>
              </w:rPr>
              <w:t>Crime organizado e violência doméstica</w:t>
            </w:r>
          </w:p>
        </w:tc>
        <w:tc>
          <w:tcPr>
            <w:tcW w:type="dxa" w:w="1909"/>
            <w:vAlign w:val="center"/>
          </w:tcPr>
          <w:p>
            <w:pPr>
              <w:spacing w:after="40" w:before="40"/>
            </w:pPr>
            <w:r>
              <w:rPr>
                <w:color w:val="183145"/>
                <w:sz w:val="15"/>
              </w:rPr>
              <w:t>Muito 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 estados executam</w:t>
            </w:r>
          </w:p>
        </w:tc>
      </w:tr>
      <w:tr>
        <w:tc>
          <w:tcPr>
            <w:tcW w:type="dxa" w:w="1909"/>
            <w:vAlign w:val="center"/>
          </w:tcPr>
          <w:p>
            <w:pPr>
              <w:spacing w:after="40" w:before="40"/>
            </w:pPr>
            <w:r>
              <w:rPr>
                <w:color w:val="183145"/>
                <w:sz w:val="15"/>
              </w:rPr>
              <w:t>4</w:t>
            </w:r>
          </w:p>
        </w:tc>
        <w:tc>
          <w:tcPr>
            <w:tcW w:type="dxa" w:w="1909"/>
            <w:vAlign w:val="center"/>
          </w:tcPr>
          <w:p>
            <w:pPr>
              <w:spacing w:after="40" w:before="40"/>
            </w:pPr>
            <w:r>
              <w:rPr>
                <w:color w:val="183145"/>
                <w:sz w:val="15"/>
              </w:rPr>
              <w:t>Filas, prevenção deficiente e gestão no SUS</w:t>
            </w:r>
          </w:p>
        </w:tc>
        <w:tc>
          <w:tcPr>
            <w:tcW w:type="dxa" w:w="1909"/>
            <w:vAlign w:val="center"/>
          </w:tcPr>
          <w:p>
            <w:pPr>
              <w:spacing w:after="40" w:before="40"/>
            </w:pPr>
            <w:r>
              <w:rPr>
                <w:color w:val="183145"/>
                <w:sz w:val="15"/>
              </w:rPr>
              <w:t>Muito 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Média/alta; estados e municípios</w:t>
            </w:r>
          </w:p>
        </w:tc>
      </w:tr>
      <w:tr>
        <w:tc>
          <w:tcPr>
            <w:tcW w:type="dxa" w:w="1909"/>
            <w:vAlign w:val="center"/>
          </w:tcPr>
          <w:p>
            <w:pPr>
              <w:spacing w:after="40" w:before="40"/>
            </w:pPr>
            <w:r>
              <w:rPr>
                <w:color w:val="183145"/>
                <w:sz w:val="15"/>
              </w:rPr>
              <w:t>5</w:t>
            </w:r>
          </w:p>
        </w:tc>
        <w:tc>
          <w:tcPr>
            <w:tcW w:type="dxa" w:w="1909"/>
            <w:vAlign w:val="center"/>
          </w:tcPr>
          <w:p>
            <w:pPr>
              <w:spacing w:after="40" w:before="40"/>
            </w:pPr>
            <w:r>
              <w:rPr>
                <w:color w:val="183145"/>
                <w:sz w:val="15"/>
              </w:rPr>
              <w:t>Saneamento e água vulnerável a choques</w:t>
            </w:r>
          </w:p>
        </w:tc>
        <w:tc>
          <w:tcPr>
            <w:tcW w:type="dxa" w:w="1909"/>
            <w:vAlign w:val="center"/>
          </w:tcPr>
          <w:p>
            <w:pPr>
              <w:spacing w:after="40" w:before="40"/>
            </w:pPr>
            <w:r>
              <w:rPr>
                <w:color w:val="183145"/>
                <w:sz w:val="15"/>
              </w:rPr>
              <w:t>Muito 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 titulares locais</w:t>
            </w:r>
          </w:p>
        </w:tc>
      </w:tr>
      <w:tr>
        <w:tc>
          <w:tcPr>
            <w:tcW w:type="dxa" w:w="1909"/>
            <w:vAlign w:val="center"/>
          </w:tcPr>
          <w:p>
            <w:pPr>
              <w:spacing w:after="40" w:before="40"/>
            </w:pPr>
            <w:r>
              <w:rPr>
                <w:color w:val="183145"/>
                <w:sz w:val="15"/>
              </w:rPr>
              <w:t>6</w:t>
            </w:r>
          </w:p>
        </w:tc>
        <w:tc>
          <w:tcPr>
            <w:tcW w:type="dxa" w:w="1909"/>
            <w:vAlign w:val="center"/>
          </w:tcPr>
          <w:p>
            <w:pPr>
              <w:spacing w:after="40" w:before="40"/>
            </w:pPr>
            <w:r>
              <w:rPr>
                <w:color w:val="183145"/>
                <w:sz w:val="15"/>
              </w:rPr>
              <w:t>Baixa produtividade e difusão tecnológica</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 resposta empresarial</w:t>
            </w:r>
          </w:p>
        </w:tc>
      </w:tr>
      <w:tr>
        <w:tc>
          <w:tcPr>
            <w:tcW w:type="dxa" w:w="1909"/>
            <w:vAlign w:val="center"/>
          </w:tcPr>
          <w:p>
            <w:pPr>
              <w:spacing w:after="40" w:before="40"/>
            </w:pPr>
            <w:r>
              <w:rPr>
                <w:color w:val="183145"/>
                <w:sz w:val="15"/>
              </w:rPr>
              <w:t>7</w:t>
            </w:r>
          </w:p>
        </w:tc>
        <w:tc>
          <w:tcPr>
            <w:tcW w:type="dxa" w:w="1909"/>
            <w:vAlign w:val="center"/>
          </w:tcPr>
          <w:p>
            <w:pPr>
              <w:spacing w:after="40" w:before="40"/>
            </w:pPr>
            <w:r>
              <w:rPr>
                <w:color w:val="183145"/>
                <w:sz w:val="15"/>
              </w:rPr>
              <w:t>Pobreza persistente e desigualdades</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Média/alta; transferências e emprego</w:t>
            </w:r>
          </w:p>
        </w:tc>
      </w:tr>
      <w:tr>
        <w:tc>
          <w:tcPr>
            <w:tcW w:type="dxa" w:w="1909"/>
            <w:vAlign w:val="center"/>
          </w:tcPr>
          <w:p>
            <w:pPr>
              <w:spacing w:after="40" w:before="40"/>
            </w:pPr>
            <w:r>
              <w:rPr>
                <w:color w:val="183145"/>
                <w:sz w:val="15"/>
              </w:rPr>
              <w:t>8</w:t>
            </w:r>
          </w:p>
        </w:tc>
        <w:tc>
          <w:tcPr>
            <w:tcW w:type="dxa" w:w="1909"/>
            <w:vAlign w:val="center"/>
          </w:tcPr>
          <w:p>
            <w:pPr>
              <w:spacing w:after="40" w:before="40"/>
            </w:pPr>
            <w:r>
              <w:rPr>
                <w:color w:val="183145"/>
                <w:sz w:val="15"/>
              </w:rPr>
              <w:t>Exposição a secas, enchentes e calor</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 pactuação</w:t>
            </w:r>
          </w:p>
        </w:tc>
      </w:tr>
      <w:tr>
        <w:tc>
          <w:tcPr>
            <w:tcW w:type="dxa" w:w="1909"/>
            <w:vAlign w:val="center"/>
          </w:tcPr>
          <w:p>
            <w:pPr>
              <w:spacing w:after="40" w:before="40"/>
            </w:pPr>
            <w:r>
              <w:rPr>
                <w:color w:val="183145"/>
                <w:sz w:val="15"/>
              </w:rPr>
              <w:t>9</w:t>
            </w:r>
          </w:p>
        </w:tc>
        <w:tc>
          <w:tcPr>
            <w:tcW w:type="dxa" w:w="1909"/>
            <w:vAlign w:val="center"/>
          </w:tcPr>
          <w:p>
            <w:pPr>
              <w:spacing w:after="40" w:before="40"/>
            </w:pPr>
            <w:r>
              <w:rPr>
                <w:color w:val="183145"/>
                <w:sz w:val="15"/>
              </w:rPr>
              <w:t>Burocracia e baixa avaliação de gasto</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Alto</w:t>
            </w:r>
          </w:p>
        </w:tc>
        <w:tc>
          <w:tcPr>
            <w:tcW w:type="dxa" w:w="1909"/>
            <w:vAlign w:val="center"/>
          </w:tcPr>
          <w:p>
            <w:pPr>
              <w:spacing w:after="40" w:before="40"/>
            </w:pPr>
            <w:r>
              <w:rPr>
                <w:color w:val="183145"/>
                <w:sz w:val="15"/>
              </w:rPr>
              <w:t>Alta em âmbito federal</w:t>
            </w:r>
          </w:p>
        </w:tc>
      </w:tr>
      <w:tr>
        <w:tc>
          <w:tcPr>
            <w:tcW w:type="dxa" w:w="1909"/>
            <w:vAlign w:val="center"/>
          </w:tcPr>
          <w:p>
            <w:pPr>
              <w:spacing w:after="40" w:before="40"/>
            </w:pPr>
            <w:r>
              <w:rPr>
                <w:color w:val="183145"/>
                <w:sz w:val="15"/>
              </w:rPr>
              <w:t>10</w:t>
            </w:r>
          </w:p>
        </w:tc>
        <w:tc>
          <w:tcPr>
            <w:tcW w:type="dxa" w:w="1909"/>
            <w:vAlign w:val="center"/>
          </w:tcPr>
          <w:p>
            <w:pPr>
              <w:spacing w:after="40" w:before="40"/>
            </w:pPr>
            <w:r>
              <w:rPr>
                <w:color w:val="183145"/>
                <w:sz w:val="15"/>
              </w:rPr>
              <w:t>Logística cara e manutenção insuficiente</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Alto</w:t>
            </w:r>
          </w:p>
        </w:tc>
        <w:tc>
          <w:tcPr>
            <w:tcW w:type="dxa" w:w="1909"/>
            <w:vAlign w:val="center"/>
          </w:tcPr>
          <w:p>
            <w:pPr>
              <w:spacing w:after="40" w:before="40"/>
            </w:pPr>
            <w:r>
              <w:rPr>
                <w:color w:val="183145"/>
                <w:sz w:val="15"/>
              </w:rPr>
              <w:t>Média; concessões</w:t>
            </w:r>
          </w:p>
        </w:tc>
      </w:tr>
      <w:tr>
        <w:tc>
          <w:tcPr>
            <w:tcW w:type="dxa" w:w="1909"/>
            <w:vAlign w:val="center"/>
          </w:tcPr>
          <w:p>
            <w:pPr>
              <w:spacing w:after="40" w:before="40"/>
            </w:pPr>
            <w:r>
              <w:rPr>
                <w:color w:val="183145"/>
                <w:sz w:val="15"/>
              </w:rPr>
              <w:t>11</w:t>
            </w:r>
          </w:p>
        </w:tc>
        <w:tc>
          <w:tcPr>
            <w:tcW w:type="dxa" w:w="1909"/>
            <w:vAlign w:val="center"/>
          </w:tcPr>
          <w:p>
            <w:pPr>
              <w:spacing w:after="40" w:before="40"/>
            </w:pPr>
            <w:r>
              <w:rPr>
                <w:color w:val="183145"/>
                <w:sz w:val="15"/>
              </w:rPr>
              <w:t>Desigualdade regional e municipal</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w:t>
            </w:r>
          </w:p>
        </w:tc>
      </w:tr>
      <w:tr>
        <w:tc>
          <w:tcPr>
            <w:tcW w:type="dxa" w:w="1909"/>
            <w:vAlign w:val="center"/>
          </w:tcPr>
          <w:p>
            <w:pPr>
              <w:spacing w:after="40" w:before="40"/>
            </w:pPr>
            <w:r>
              <w:rPr>
                <w:color w:val="183145"/>
                <w:sz w:val="15"/>
              </w:rPr>
              <w:t>12</w:t>
            </w:r>
          </w:p>
        </w:tc>
        <w:tc>
          <w:tcPr>
            <w:tcW w:type="dxa" w:w="1909"/>
            <w:vAlign w:val="center"/>
          </w:tcPr>
          <w:p>
            <w:pPr>
              <w:spacing w:after="40" w:before="40"/>
            </w:pPr>
            <w:r>
              <w:rPr>
                <w:color w:val="183145"/>
                <w:sz w:val="15"/>
              </w:rPr>
              <w:t>Déficit de qualificação profissional</w:t>
            </w:r>
          </w:p>
        </w:tc>
        <w:tc>
          <w:tcPr>
            <w:tcW w:type="dxa" w:w="1909"/>
            <w:vAlign w:val="center"/>
          </w:tcPr>
          <w:p>
            <w:pPr>
              <w:spacing w:after="40" w:before="40"/>
            </w:pPr>
            <w:r>
              <w:rPr>
                <w:color w:val="183145"/>
                <w:sz w:val="15"/>
              </w:rPr>
              <w:t>Alta</w:t>
            </w:r>
          </w:p>
        </w:tc>
        <w:tc>
          <w:tcPr>
            <w:tcW w:type="dxa" w:w="1909"/>
            <w:vAlign w:val="center"/>
          </w:tcPr>
          <w:p>
            <w:pPr>
              <w:spacing w:after="40" w:before="40"/>
            </w:pPr>
            <w:r>
              <w:rPr>
                <w:color w:val="183145"/>
                <w:sz w:val="15"/>
              </w:rPr>
              <w:t>Alto</w:t>
            </w:r>
          </w:p>
        </w:tc>
        <w:tc>
          <w:tcPr>
            <w:tcW w:type="dxa" w:w="1909"/>
            <w:vAlign w:val="center"/>
          </w:tcPr>
          <w:p>
            <w:pPr>
              <w:spacing w:after="40" w:before="40"/>
            </w:pPr>
            <w:r>
              <w:rPr>
                <w:color w:val="183145"/>
                <w:sz w:val="15"/>
              </w:rPr>
              <w:t>Média/alta</w:t>
            </w:r>
          </w:p>
        </w:tc>
      </w:tr>
      <w:tr>
        <w:tc>
          <w:tcPr>
            <w:tcW w:type="dxa" w:w="1909"/>
            <w:vAlign w:val="center"/>
          </w:tcPr>
          <w:p>
            <w:pPr>
              <w:spacing w:after="40" w:before="40"/>
            </w:pPr>
            <w:r>
              <w:rPr>
                <w:color w:val="183145"/>
                <w:sz w:val="15"/>
              </w:rPr>
              <w:t>13</w:t>
            </w:r>
          </w:p>
        </w:tc>
        <w:tc>
          <w:tcPr>
            <w:tcW w:type="dxa" w:w="1909"/>
            <w:vAlign w:val="center"/>
          </w:tcPr>
          <w:p>
            <w:pPr>
              <w:spacing w:after="40" w:before="40"/>
            </w:pPr>
            <w:r>
              <w:rPr>
                <w:color w:val="183145"/>
                <w:sz w:val="15"/>
              </w:rPr>
              <w:t>Insegurança energética/local e transmissão</w:t>
            </w:r>
          </w:p>
        </w:tc>
        <w:tc>
          <w:tcPr>
            <w:tcW w:type="dxa" w:w="1909"/>
            <w:vAlign w:val="center"/>
          </w:tcPr>
          <w:p>
            <w:pPr>
              <w:spacing w:after="40" w:before="40"/>
            </w:pPr>
            <w:r>
              <w:rPr>
                <w:color w:val="183145"/>
                <w:sz w:val="15"/>
              </w:rPr>
              <w:t>Média/alta</w:t>
            </w:r>
          </w:p>
        </w:tc>
        <w:tc>
          <w:tcPr>
            <w:tcW w:type="dxa" w:w="1909"/>
            <w:vAlign w:val="center"/>
          </w:tcPr>
          <w:p>
            <w:pPr>
              <w:spacing w:after="40" w:before="40"/>
            </w:pPr>
            <w:r>
              <w:rPr>
                <w:color w:val="183145"/>
                <w:sz w:val="15"/>
              </w:rPr>
              <w:t>Alto</w:t>
            </w:r>
          </w:p>
        </w:tc>
        <w:tc>
          <w:tcPr>
            <w:tcW w:type="dxa" w:w="1909"/>
            <w:vAlign w:val="center"/>
          </w:tcPr>
          <w:p>
            <w:pPr>
              <w:spacing w:after="40" w:before="40"/>
            </w:pPr>
            <w:r>
              <w:rPr>
                <w:color w:val="183145"/>
                <w:sz w:val="15"/>
              </w:rPr>
              <w:t>Média; regulação/mercado</w:t>
            </w:r>
          </w:p>
        </w:tc>
      </w:tr>
      <w:tr>
        <w:tc>
          <w:tcPr>
            <w:tcW w:type="dxa" w:w="1909"/>
            <w:vAlign w:val="center"/>
          </w:tcPr>
          <w:p>
            <w:pPr>
              <w:spacing w:after="40" w:before="40"/>
            </w:pPr>
            <w:r>
              <w:rPr>
                <w:color w:val="183145"/>
                <w:sz w:val="15"/>
              </w:rPr>
              <w:t>14</w:t>
            </w:r>
          </w:p>
        </w:tc>
        <w:tc>
          <w:tcPr>
            <w:tcW w:type="dxa" w:w="1909"/>
            <w:vAlign w:val="center"/>
          </w:tcPr>
          <w:p>
            <w:pPr>
              <w:spacing w:after="40" w:before="40"/>
            </w:pPr>
            <w:r>
              <w:rPr>
                <w:color w:val="183145"/>
                <w:sz w:val="15"/>
              </w:rPr>
              <w:t>Dependência de cadeias tecnológicas externas</w:t>
            </w:r>
          </w:p>
        </w:tc>
        <w:tc>
          <w:tcPr>
            <w:tcW w:type="dxa" w:w="1909"/>
            <w:vAlign w:val="center"/>
          </w:tcPr>
          <w:p>
            <w:pPr>
              <w:spacing w:after="40" w:before="40"/>
            </w:pPr>
            <w:r>
              <w:rPr>
                <w:color w:val="183145"/>
                <w:sz w:val="15"/>
              </w:rPr>
              <w:t>Média/alta</w:t>
            </w:r>
          </w:p>
        </w:tc>
        <w:tc>
          <w:tcPr>
            <w:tcW w:type="dxa" w:w="1909"/>
            <w:vAlign w:val="center"/>
          </w:tcPr>
          <w:p>
            <w:pPr>
              <w:spacing w:after="40" w:before="40"/>
            </w:pPr>
            <w:r>
              <w:rPr>
                <w:color w:val="183145"/>
                <w:sz w:val="15"/>
              </w:rPr>
              <w:t>Alto</w:t>
            </w:r>
          </w:p>
        </w:tc>
        <w:tc>
          <w:tcPr>
            <w:tcW w:type="dxa" w:w="1909"/>
            <w:vAlign w:val="center"/>
          </w:tcPr>
          <w:p>
            <w:pPr>
              <w:spacing w:after="40" w:before="40"/>
            </w:pPr>
            <w:r>
              <w:rPr>
                <w:color w:val="183145"/>
                <w:sz w:val="15"/>
              </w:rPr>
              <w:t>Média; longo prazo</w:t>
            </w:r>
          </w:p>
        </w:tc>
      </w:tr>
      <w:tr>
        <w:tc>
          <w:tcPr>
            <w:tcW w:type="dxa" w:w="1909"/>
            <w:vAlign w:val="center"/>
          </w:tcPr>
          <w:p>
            <w:pPr>
              <w:spacing w:after="40" w:before="40"/>
            </w:pPr>
            <w:r>
              <w:rPr>
                <w:color w:val="183145"/>
                <w:sz w:val="15"/>
              </w:rPr>
              <w:t>15</w:t>
            </w:r>
          </w:p>
        </w:tc>
        <w:tc>
          <w:tcPr>
            <w:tcW w:type="dxa" w:w="1909"/>
            <w:vAlign w:val="center"/>
          </w:tcPr>
          <w:p>
            <w:pPr>
              <w:spacing w:after="40" w:before="40"/>
            </w:pPr>
            <w:r>
              <w:rPr>
                <w:color w:val="183145"/>
                <w:sz w:val="15"/>
              </w:rPr>
              <w:t>Envelhecimento e sustentabilidade previdenciária</w:t>
            </w:r>
          </w:p>
        </w:tc>
        <w:tc>
          <w:tcPr>
            <w:tcW w:type="dxa" w:w="1909"/>
            <w:vAlign w:val="center"/>
          </w:tcPr>
          <w:p>
            <w:pPr>
              <w:spacing w:after="40" w:before="40"/>
            </w:pPr>
            <w:r>
              <w:rPr>
                <w:color w:val="183145"/>
                <w:sz w:val="15"/>
              </w:rPr>
              <w:t>Alta no longo prazo</w:t>
            </w:r>
          </w:p>
        </w:tc>
        <w:tc>
          <w:tcPr>
            <w:tcW w:type="dxa" w:w="1909"/>
            <w:vAlign w:val="center"/>
          </w:tcPr>
          <w:p>
            <w:pPr>
              <w:spacing w:after="40" w:before="40"/>
            </w:pPr>
            <w:r>
              <w:rPr>
                <w:color w:val="183145"/>
                <w:sz w:val="15"/>
              </w:rPr>
              <w:t>Muito alto</w:t>
            </w:r>
          </w:p>
        </w:tc>
        <w:tc>
          <w:tcPr>
            <w:tcW w:type="dxa" w:w="1909"/>
            <w:vAlign w:val="center"/>
          </w:tcPr>
          <w:p>
            <w:pPr>
              <w:spacing w:after="40" w:before="40"/>
            </w:pPr>
            <w:r>
              <w:rPr>
                <w:color w:val="183145"/>
                <w:sz w:val="15"/>
              </w:rPr>
              <w:t>Média/baixa em um mandato</w:t>
            </w:r>
          </w:p>
        </w:tc>
      </w:tr>
    </w:tbl>
    <w:p/>
    <w:p>
      <w:pPr>
        <w:pStyle w:val="Heading1"/>
      </w:pPr>
      <w:r>
        <w:t>9. Nota metodológica sobre números não fechados</w:t>
      </w:r>
    </w:p>
    <w:p>
      <w:r>
        <w:t>Não se inventaram indicadores nacionais de fome, Gini de 2025, câmbio em 20 de outubro de 2026, cobertura SINISA consolidada em 2025, informalidade do último trimestre ou percentual dos orçamentos de saúde; valores não verificados ficam como linhas de monitoramento e não como premissas quantitativas. As metas de 2027–2030 dependem de construção de linha de base administrativa auditável nos primeiros 100 dias. Fatores como processos inflacionários e decisões do Copom não estão sob comando presidencial.</w:t>
      </w:r>
    </w:p>
    <w:p>
      <w:pPr>
        <w:pStyle w:val="Heading1"/>
      </w:pPr>
      <w:r>
        <w:t>10. Fontes rastreáveis e datas</w:t>
      </w:r>
    </w:p>
    <w:p>
      <w:r>
        <w:t>[S01] IBGE. Sistema de Contas Nacionais Trimestrais, segundo trimestre de 2026; divulgação 01/09/2026. Disponível em: https://www.ibge.gov.br/estatisticas/economicas/contas-nacionais/9300-contas-nacionais-trimestrais.html. Consulta para a simulação: 20/10/2026.</w:t>
      </w:r>
    </w:p>
    <w:p>
      <w:r>
        <w:t>[S02] IBGE. Indicadores IPCA, setembro de 2026. Disponível em: https://www.ibge.gov.br/indicadores/ipca.html. Consulta para a simulação: 20/10/2026.</w:t>
      </w:r>
    </w:p>
    <w:p>
      <w:r>
        <w:t>[S03] Banco Central. Comunicado 45.963 (16/09/2026), meta Selic 13,75%. Disponível em: https://www.bcb.gov.br/estabilidadefinanceira/exibenormativo?numero=45963&amp;tipo=Comunicado. Consulta para a simulação: 20/10/2026.</w:t>
      </w:r>
    </w:p>
    <w:p>
      <w:r>
        <w:t>[S04] Tesouro Nacional. Resultado do Tesouro Nacional, agosto de 2026, publicado 29/09/2026. Disponível em: https://www.tesourotransparente.gov.br/publicacoes/boletim-resultado-do-tesouro-nacional-rtn/2026/8. Consulta para a simulação: 20/10/2026.</w:t>
      </w:r>
    </w:p>
    <w:p>
      <w:r>
        <w:t>[S05] Banco Central. Estatísticas fiscais, agosto de 2026, divulgação 30/09/2026. Disponível em: https://www.bcb.gov.br/estatisticas/estatisticasfiscais. Consulta para a simulação: 20/10/2026.</w:t>
      </w:r>
    </w:p>
    <w:p>
      <w:r>
        <w:t>[S06] IBGE/SPE-Fazenda. PNAD contínua, trimestre móvel junho–agosto de 2026. Disponível em: https://www.gov.br/fazenda/pt-br/central-de-conteudo/publicacoes/conjuntura-economica/emprego-e-renda/defeso-eleitoral-2026/informativo-pnad-ago2026.html. Consulta para a simulação: 20/10/2026.</w:t>
      </w:r>
    </w:p>
    <w:p>
      <w:r>
        <w:t>[S07] Tesouro Nacional. Carga tributária bruta do governo geral de 2025, publicada 10/04/2026. Disponível em: https://www.tesourotransparente.gov.br/publicacoes/carga-tributaria-do-governo-geral/2025/114. Consulta para a simulação: 20/10/2026.</w:t>
      </w:r>
    </w:p>
    <w:p>
      <w:r>
        <w:t>[S08] MDIC. Balança comercial, resultados consolidados atualizados em 06/10/2026. Disponível em: https://balanca.mdic.gov.br/balanca/publicacoes_dados_consolidados/pg.html. Consulta para a simulação: 20/10/2026.</w:t>
      </w:r>
    </w:p>
    <w:p>
      <w:r>
        <w:t>[S09] IBGE. Síntese de Indicadores Sociais 2025 (pobreza de 2024). Disponível em: https://agenciadenoticias.ibge.gov.br/agencia-noticias/2012-agencia-de-noticias/noticias/45344-8-6-milhoes-de-pessoas-sairam-da-pobreza-entre-2023-e-2024. Consulta para a simulação: 20/10/2026.</w:t>
      </w:r>
    </w:p>
    <w:p>
      <w:r>
        <w:t>[S10] INEP. IDEB 2025, divulgação agosto de 2026. Disponível em: https://www.gov.br/inep/pt-br/centrais-de-conteudo/noticias/ideb/ideb-avanca-em-todas-as-etapas-da-educacao-basica. Consulta para a simulação: 20/10/2026.</w:t>
      </w:r>
    </w:p>
    <w:p>
      <w:r>
        <w:t>[S11] Fórum Brasileiro de Segurança Pública. 20º Anuário Brasileiro de Segurança Pública, dados de 2025. Disponível em: https://fontesegura.forumseguranca.org.br/20a-edicao-do-anuario-brasileiro-de-seguranca-publica-aponta-que-os-lares-se-tornaram-ambientes-mais-violentos-para-mulheres-criancas-e-adolescentes-homicidios-caem-82-na-comparacao-com-2024/. Consulta para a simulação: 20/10/2026.</w:t>
      </w:r>
    </w:p>
    <w:p>
      <w:r>
        <w:t>[S12] INPE. Monitoramento Prodes, estimativa de 2026 publicada em 16/10/2026. Disponível em: https://www.gov.br/inpe/pt-br/assuntos/ultimas-noticias/brasil-alcanca-menores-taxas-de-desmatamento-da-serie-historica-na-amazonia-e-no-cerrado/. Consulta para a simulação: 20/10/2026.</w:t>
      </w:r>
    </w:p>
    <w:p>
      <w:r>
        <w:t>[S13] Ministério das Cidades. SINISA 2025, dados de referência 2024. Disponível em: https://www.gov.br/cidades/pt-br/acesso-a-informacao/acoes-e-programas/saneamento/sinisa/resultados-sinisa/resultados-sinisa-2025. Consulta para a simulação: 20/10/2026.</w:t>
      </w:r>
    </w:p>
    <w:p>
      <w:r>
        <w:t>[S14] INEP. Avaliação da alfabetização 2025, atualizações de 2026. Disponível em: https://www.gov.br/inep/pt-br/areas-de-atuacao/avaliacao-e-exames-educacionais/avaliacao-da-alfabetizacao/resultados. Consulta para a simulação: 20/10/2026.</w:t>
      </w:r>
    </w:p>
    <w:p>
      <w:r>
        <w:t>[S15] Constituição da República Federativa do Brasil. CF/1988, especialmente arts. 14, 18, 37, 49, 84, 144, 196 e 205. Disponível em: https://www.planalto.gov.br/ccivil_03/constituicao/constituicao.htm. Consulta para a simulação: 20/10/2026.</w:t>
      </w:r>
    </w:p>
    <w:p>
      <w:r>
        <w:t>[S16] Lei Complementar 200/2023. Regime fiscal sustentável — texto de referência. Disponível em: https://www.planalto.gov.br/ccivil_03/leis/lcp/lcp200.htm. Consulta para a simulação: 20/10/2026.</w:t>
      </w:r>
    </w:p>
    <w:p>
      <w:r>
        <w:t>[S17] Lei 14.026/2020. Atualização do marco de saneamento básico. Disponível em: https://www.planalto.gov.br/ccivil_03/_ato2019-2022/2020/lei/l14026.htm. Consulta para a simulação: 20/10/2026.</w:t>
      </w:r>
    </w:p>
    <w:p>
      <w:r>
        <w:t>[S18] Lei 13.675/2018. Sistema Único de Segurança Pública — SUSP. Disponível em: https://www.planalto.gov.br/ccivil_03/_ato2015-2018/2018/lei/l13675.htm. Consulta para a simulação: 20/10/2026.</w:t>
      </w:r>
    </w:p>
    <w:p>
      <w:r>
        <w:t>[S19] Lei 13.709/2018. Lei Geral de Proteção de Dados — LGPD. Disponível em: https://www.planalto.gov.br/ccivil_03/_ato2015-2018/2018/lei/l13709.htm. Consulta para a simulação: 20/10/2026.</w:t>
      </w:r>
    </w:p>
    <w:p>
      <w:r>
        <w:t>[S20] Emenda Constitucional 132/2023. Reforma tributária do consumo e transição. Disponível em: https://www.planalto.gov.br/ccivil_03/constituicao/emendas/emc/emc132.htm. Consulta para a simulação: 20/10/2026.</w:t>
      </w:r>
    </w:p>
    <w:p>
      <w:r>
        <w:t>[S21] Banco Central. Atas do Copom de 16/09/2026; projeções condicionais, não dados realizados. Disponível em: https://www.bcb.gov.br/publicacoes/atascopom/16092026. Consulta para a simulação: 20/10/2026.</w:t>
      </w:r>
    </w:p>
    <w:p>
      <w:r>
        <w:t>[S22] IBGE. Síntese de Indicadores Sociais, publicações e metodologias. Disponível em: https://www.ibge.gov.br/estatisticas/sociais/populacao/9221-sintese-de-indicadores-sociais.html. Consulta para a simulação: 20/10/2026.</w:t>
      </w:r>
    </w:p>
    <w:sectPr w:rsidR="00FC693F" w:rsidRPr="0006063C" w:rsidSect="00034616">
      <w:headerReference w:type="default" r:id="rId9"/>
      <w:footerReference w:type="default" r:id="rId10"/>
      <w:pgSz w:w="12240" w:h="15840"/>
      <w:pgMar w:top="1304" w:right="1276" w:bottom="1134" w:left="141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36D"/>
        <w:sz w:val="16"/>
      </w:rPr>
      <w:t xml:space="preserve">Eleições Presidenciais das IAs • Brasil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D8C84"/>
        <w:sz w:val="16"/>
      </w:rPr>
      <w:t>PHT  •  CANDIDATURA FICTÍCIA  |  VOLUME 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831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D8C84"/>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1D8C84"/>
      <w:sz w:val="23"/>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tos Display" w:hAnsi="Aptos Display"/>
      <w:b/>
      <w:bCs/>
      <w:color w:val="1D8C8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8314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