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ELEIÇÕES PRESIDENCIAIS DAS IAs — BRASIL 2026</w:t>
      </w:r>
    </w:p>
    <w:p>
      <w:pPr>
        <w:pStyle w:val="Title"/>
      </w:pPr>
      <w:r>
        <w:t>VOLUME 03</w:t>
      </w:r>
    </w:p>
    <w:p>
      <w:pPr>
        <w:pStyle w:val="Title"/>
      </w:pPr>
      <w:r>
        <w:t>Plano de Governo 2027–2030 — 20 eixos de políticas públicas</w:t>
      </w:r>
    </w:p>
    <w:p>
      <w:r>
        <w:rPr>
          <w:b/>
        </w:rPr>
        <w:t>Clara Dantas Siqueira</w:t>
      </w:r>
      <w:r>
        <w:t xml:space="preserve">  •  Partido Horizonte do Trabalho (PHT)</w:t>
      </w:r>
    </w:p>
    <w:p>
      <w:pPr>
        <w:pStyle w:val="Caption"/>
      </w:pPr>
      <w:r>
        <w:t>SIMULAÇÃO FICTÍCIA • NÃO É CANDIDATURA REAL • DATA-BASE 20/10/2026</w:t>
      </w:r>
    </w:p>
    <w:p>
      <w:r>
        <w:t>Documento do universo ficcional. Os números nacionais citados são dados públicos reais identificados por fonte e período; os acontecimentos biográficos, as decisões políticas, metas e projeções da candidatura são construções ficcionais, não fatos históricos.</w:t>
      </w:r>
    </w:p>
    <w:p>
      <w:r>
        <w:br w:type="page"/>
      </w:r>
    </w:p>
    <w:p>
      <w:pPr>
        <w:pStyle w:val="Heading1"/>
      </w:pPr>
      <w:r>
        <w:t>Plano de Governo 2027–2030 — Clara Siqueira</w:t>
      </w:r>
    </w:p>
    <w:p>
      <w:r>
        <w:t>Tese central: a capacidade de produzir bens e serviços de alto valor é inseparável de acesso efetivo a saúde, educação, segurança e oportunidades. O PHT escolhe economia mista competitiva, industrialização orientada por missões e disciplina fiscal verificável. Nada neste plano revoga competências estaduais, municipais, legislativas, judiciais ou do Banco Central. As metas são compromissos condicionais da simulação, não previsões oficiais.</w:t>
      </w:r>
    </w:p>
    <w:p>
      <w:r>
        <w:t>Regra de custo: os valores de despesa incremental federal mencionados por eixo pertencem APENAS aos envelopes financeiros consolidados no Volume 05 (total R$ 155 bilhões em quatro anos, em reais de 2026). O mesmo envelope pode apoiar dois eixos: isso NÃO constitui dois lançamentos. Concessões, investimento privado, crédito reembolsável e receitas de estatais têm contabilidades próprias, com garantias e riscos publicados. Todas as rubricas estão sujeitas à LDO, LOA, espaço fiscal, aprovação legislativa e cumprimento das regras vigentes [S16].</w:t>
      </w:r>
    </w:p>
    <w:p>
      <w:pPr>
        <w:pStyle w:val="Heading1"/>
      </w:pPr>
      <w:r>
        <w:t>EIXO 1 — Economia e desenvolvimento</w:t>
      </w:r>
    </w:p>
    <w:p>
      <w:r>
        <w:t>Diagnóstico [F/I]: PIB 2025 +2,3%, avanço em quatro trimestres de 1,9% até junho de 2026 e Selic 13,75% a.a. evidenciam expansão sem garantia de crescimento sustentado [S01,S03]. O gargalo é produtividade, custo logístico, crédito e ambiente de inovação.</w:t>
      </w:r>
    </w:p>
    <w:p>
      <w:r>
        <w:t>Objetivo: Elevar produtividade e taxa de investimento sem subordinar o Banco Central ao Planalto; criar ambiente previsível para empresas, trabalho e investimentos.</w:t>
      </w:r>
    </w:p>
    <w:p>
      <w:r>
        <w:t>Proposta 1. Criar Conselho de Produtividade, com metas setoriais, avaliação pública anual e participação de empresas, trabalhadores e academia.</w:t>
      </w:r>
    </w:p>
    <w:p>
      <w:r>
        <w:t>Proposta 2. Lançar editais competitivos de inovação aplicada para saúde, agroindústria e energia, com contrapartida privada e cláusulas de encerramento.</w:t>
      </w:r>
    </w:p>
    <w:p>
      <w:r>
        <w:t>Proposta 3. Reduzir tempos de abertura e licenciamento econômico administrativo de baixo risco por integração digital, sem dispensar licenciamento ambiental necessário.</w:t>
      </w:r>
    </w:p>
    <w:p>
      <w:r>
        <w:t>Proposta 4. Executar carteira plurianual de manutenção de ativos e exportação de serviços, priorizada por custo-benefício.</w:t>
      </w:r>
    </w:p>
    <w:p>
      <w:r>
        <w:t>Instrumento e competências: Atos executivos de planejamento e acordos com SEBRAE, BNDES e órgãos federais; regramento de incentivos e reformas de mercado dependem de lei. Sem controle presidencial da Selic. Pactuação com estados para licenças locais.</w:t>
      </w:r>
    </w:p>
    <w:p>
      <w:r>
        <w:t>Prazo: 0–100 dias: governança; 2027: carteira; 2028–2030: concursos e monitoramento de missões.</w:t>
      </w:r>
    </w:p>
    <w:p>
      <w:r>
        <w:t>Custo e financiamento: P&amp;D/digitalização no envelope Ciência; investimento logístico em Infraestrutura; nenhum “pacote de crescimento” adicional fora do quadro fiscal.</w:t>
      </w:r>
    </w:p>
    <w:p>
      <w:r>
        <w:t>Indicadores verificáveis: Produtividade do trabalho medida com metodologia do IBGE/Ipea; investimento privado alavancado auditado; tempo de processos regulatórios.</w:t>
      </w:r>
    </w:p>
    <w:p>
      <w:r>
        <w:t>Riscos e limites: Rent-seeking, captura de créditos, inflação de custos de obras e eventual frustração de investimento privado.</w:t>
      </w:r>
    </w:p>
    <w:p>
      <w:r>
        <w:t>Escolha política e trade-off: Foco na concorrência e em resultados verificáveis; subsídios automáticos e barreiras comerciais permanentes são incompatíveis com o programa.</w:t>
      </w:r>
    </w:p>
    <w:p>
      <w:pPr>
        <w:pStyle w:val="Heading1"/>
      </w:pPr>
      <w:r>
        <w:t>EIXO 2 — Tributação e orçamento</w:t>
      </w:r>
    </w:p>
    <w:p>
      <w:r>
        <w:t>Diagnóstico [F/I]: Carga tributária bruta estimada em 32,40% do PIB em 2025 e transição do novo tributo sobre consumo requerem estabilidade regulatória [S07,S20]. O orçamento federal é rígido e a dívida cresceu.</w:t>
      </w:r>
    </w:p>
    <w:p>
      <w:r>
        <w:t>Objetivo: Promover progressividade, simplicidade e neutralidade concorrencial sem elevar indiscriminadamente a carga sobre trabalho e consumo essencial.</w:t>
      </w:r>
    </w:p>
    <w:p>
      <w:r>
        <w:t>Proposta 1. Preservar a transição constitucional do IBS/CBS e publicar painel de créditos, devoluções, litígios e impacto setorial.</w:t>
      </w:r>
    </w:p>
    <w:p>
      <w:r>
        <w:t>Proposta 2. Propor reforma compensada da tributação sobre rendas altas e bases patrimoniais compatíveis com competências de cada ente, preservando regras antielisão.</w:t>
      </w:r>
    </w:p>
    <w:p>
      <w:r>
        <w:t>Proposta 3. Revisar gastos tributários anualmente com análise distributiva, prazo de validade e metas mensuráveis.</w:t>
      </w:r>
    </w:p>
    <w:p>
      <w:r>
        <w:t>Proposta 4. Publicar orçamento cidadão conectado a empenho, liquidação, pagamento e emendas parlamentares.</w:t>
      </w:r>
    </w:p>
    <w:p>
      <w:r>
        <w:t>Instrumento e competências: Fazenda, Receita, Tesouro e CGU por atos administrativos; alíquotas, incidência, benefícios e mudanças de lei exigem Congresso; patrimônio municipal/estadual não pode ser alterado por simples decreto federal.</w:t>
      </w:r>
    </w:p>
    <w:p>
      <w:r>
        <w:t>Prazo: Propostas em 2027 e transição até 2030, respeitadas regras de anterioridade e cronogramas da reforma.</w:t>
      </w:r>
    </w:p>
    <w:p>
      <w:r>
        <w:t>Custo e financiamento: Sem despesa nova relevante; fontes de compensação são as quatro classes de receitas/economias do Volume 05, sujeitas a aprovação e risco de realização.</w:t>
      </w:r>
    </w:p>
    <w:p>
      <w:r>
        <w:t>Indicadores verificáveis: R$ de gastos tributários avaliados/encerrados; cumprimento de metas fiscais; custo de conformidade medido.</w:t>
      </w:r>
    </w:p>
    <w:p>
      <w:r>
        <w:t>Riscos e limites: Judicialização, resistência de beneficiários, arrecadação menor e regressividade por erro de desenho.</w:t>
      </w:r>
    </w:p>
    <w:p>
      <w:r>
        <w:t>Escolha política e trade-off: Nenhum alívio tributário será anunciado sem explicitar a compensação exigível na legislação e no cenário orçamentário.</w:t>
      </w:r>
    </w:p>
    <w:p>
      <w:pPr>
        <w:pStyle w:val="Heading1"/>
      </w:pPr>
      <w:r>
        <w:t>EIXO 3 — Emprego, trabalho e renda</w:t>
      </w:r>
    </w:p>
    <w:p>
      <w:r>
        <w:t>Diagnóstico [F/I]: Desocupação baixa convive com subutilização de 13,1% [S06]; jornada extensa, trabalho por plataformas e automatização criam assimetria de poder e necessidade de qualificação.</w:t>
      </w:r>
    </w:p>
    <w:p>
      <w:r>
        <w:t>Objetivo: Aumentar salário por produtividade, formalização, segurança e transição tecnológica, mantendo capacidade de contratação.</w:t>
      </w:r>
    </w:p>
    <w:p>
      <w:r>
        <w:t>Proposta 1. Enviar projeto de transição opcional/negociada de jornada ordinária para 40 horas semanais ao longo de quatro anos, sem redução salarial nominal para contratos abrangidos e com avaliação de emprego.</w:t>
      </w:r>
    </w:p>
    <w:p>
      <w:r>
        <w:t>Proposta 2. Criar conta individual de qualificação técnica para trabalhadores de setores sujeitos a automação, com cofinanciamento empresarial.</w:t>
      </w:r>
    </w:p>
    <w:p>
      <w:r>
        <w:t>Proposta 3. Propor padrão de proteção para trabalho por plataformas: transparência algorítmica, seguro contra acidentes, contribuição social proporcional e negociação coletiva.</w:t>
      </w:r>
    </w:p>
    <w:p>
      <w:r>
        <w:t>Proposta 4. Simplificar obrigações acessórias para microempresas sem reduzir proteção trabalhista essencial.</w:t>
      </w:r>
    </w:p>
    <w:p>
      <w:r>
        <w:t>Instrumento e competências: Alterações da CLT, jornada e regime de plataformas exigem lei; qualificação via convênios com SENAI, institutos federais, estados e empresas. Sindicato participa de desenho setorial.</w:t>
      </w:r>
    </w:p>
    <w:p>
      <w:r>
        <w:t>Prazo: 2027 pactos e projeto; 2028 piloto; 2029–2030 expansão condicionada a avaliação.</w:t>
      </w:r>
    </w:p>
    <w:p>
      <w:r>
        <w:t>Custo e financiamento: Qualificação dentro de Trabalho e Transição (R$ 3,5 bi acumulados); compensações patronais não automáticas devem ter análise de impacto.</w:t>
      </w:r>
    </w:p>
    <w:p>
      <w:r>
        <w:t>Indicadores verificáveis: Formalização, salário-hora real, sinistralidade, empregos em setores piloto e inserção pós-formação.</w:t>
      </w:r>
    </w:p>
    <w:p>
      <w:r>
        <w:t>Riscos e limites: Custo de adaptação nas pequenas empresas, litígios e redução de horas sem ganho de produtividade.</w:t>
      </w:r>
    </w:p>
    <w:p>
      <w:r>
        <w:t>Escolha política e trade-off: Se estudos causais apontarem demissões relevantes nas regiões-piloto, interromper etapa legislativa seguinte e negociar correção.</w:t>
      </w:r>
    </w:p>
    <w:p>
      <w:pPr>
        <w:pStyle w:val="Heading1"/>
      </w:pPr>
      <w:r>
        <w:t>EIXO 4 — Saúde</w:t>
      </w:r>
    </w:p>
    <w:p>
      <w:r>
        <w:t>Diagnóstico [F/I]: SUS constitucional e descentralizado apresenta filas e desigualdade de capacidade assistencial. Sem cadastro único, qualquer promessa sobre “zerar filas” será especulativa.</w:t>
      </w:r>
    </w:p>
    <w:p>
      <w:r>
        <w:t>Objetivo: Garantir acesso oportuno com equidade territorial, prevenção e transparência de capacidade instalada.</w:t>
      </w:r>
    </w:p>
    <w:p>
      <w:r>
        <w:t>Proposta 1. Criar padrão federativo de fila única por procedimento eletivo, com anonimização pública, auditoria e respeito à LGPD.</w:t>
      </w:r>
    </w:p>
    <w:p>
      <w:r>
        <w:t>Proposta 2. Contratar mutirões de cirurgias e exames por metas, remuneração conforme produção comprovada e avaliação de desfecho clínico.</w:t>
      </w:r>
    </w:p>
    <w:p>
      <w:r>
        <w:t>Proposta 3. Expandir equipes de atenção primária e telessaúde em regiões com vazios assistenciais, integrando farmácia e prontuário interoperável.</w:t>
      </w:r>
    </w:p>
    <w:p>
      <w:r>
        <w:t>Proposta 4. Fortalecer vacinação, vigilância e saúde mental comunitária com protocolos clínicos e prestação de contas.</w:t>
      </w:r>
    </w:p>
    <w:p>
      <w:r>
        <w:t>Instrumento e competências: Ministério da Saúde financia e induz; estados e municípios contratam e executam; serviços filantrópicos ou privados podem complementar a rede por contratos públicos auditáveis [S15].</w:t>
      </w:r>
    </w:p>
    <w:p>
      <w:r>
        <w:t>Prazo: 2027 base de fila e pactos; 2028–2030 escalonamento e revisão anual.</w:t>
      </w:r>
    </w:p>
    <w:p>
      <w:r>
        <w:t>Custo e financiamento: Envelope federal Saúde: R$ 30 bi em 2027–2030, gradativo; custeio permanente posterior exige reavaliação de LOA.</w:t>
      </w:r>
    </w:p>
    <w:p>
      <w:r>
        <w:t>Indicadores verificáveis: Tempo mediano e percentil 90 de espera por procedimento, eventos adversos, atenção primária, cobertura vacinal e mortalidade evitável.</w:t>
      </w:r>
    </w:p>
    <w:p>
      <w:r>
        <w:t>Riscos e limites: Fraude de produção, incentivos à quantidade em detrimento de qualidade, desigualdade de municípios e escassez de profissionais.</w:t>
      </w:r>
    </w:p>
    <w:p>
      <w:r>
        <w:t>Escolha política e trade-off: Universalidade permanece estatal no financiamento e diretrizes; compra de serviços não significa vender o SUS nem privatizar seu direito.</w:t>
      </w:r>
    </w:p>
    <w:p>
      <w:pPr>
        <w:pStyle w:val="Heading1"/>
      </w:pPr>
      <w:r>
        <w:t>EIXO 5 — Educação</w:t>
      </w:r>
    </w:p>
    <w:p>
      <w:r>
        <w:t>Diagnóstico [F/I]: IDEB 2025 cresceu, mas ensino médio permanece 4,5 na média das redes e a aprendizagem é muito desigual [S10]. Educação infantil e professores são fundamentais.</w:t>
      </w:r>
    </w:p>
    <w:p>
      <w:r>
        <w:t>Objetivo: Priorizar leitura e matemática até o 5º ano, ampliar educação integral e dar itinerários reais de formação técnico-científica.</w:t>
      </w:r>
    </w:p>
    <w:p>
      <w:r>
        <w:t>Proposta 1. Pactuar apoio técnico e financiamento para alfabetização até o fim do 2º ano, com avaliações anuais comparáveis e apoio sem punição cega.</w:t>
      </w:r>
    </w:p>
    <w:p>
      <w:r>
        <w:t>Proposta 2. Cofinanciar creches em municípios de maior déficit, vinculando custeio a abertura real de vagas e padrões de qualidade.</w:t>
      </w:r>
    </w:p>
    <w:p>
      <w:r>
        <w:t>Proposta 3. Financiar tempo ampliado prioritariamente onde evasão e vulnerabilidade forem maiores.</w:t>
      </w:r>
    </w:p>
    <w:p>
      <w:r>
        <w:t>Proposta 4. Criar residências docentes remuneradas e formação continuada em sala de aula; expandir integração com ensino técnico em parceria com redes de ensino.</w:t>
      </w:r>
    </w:p>
    <w:p>
      <w:r>
        <w:t>Instrumento e competências: Fundo federal por transferências e convênios com controles de resultados; contratação de professores e oferta de educação básica pertencem aos entes competentes. Mudanças normativas estruturais devem passar pelo Congresso.</w:t>
      </w:r>
    </w:p>
    <w:p>
      <w:r>
        <w:t>Prazo: 2027 linhas de base e editais; 2028–2030 expansão mediante comprovação de matrícula e aprendizagem.</w:t>
      </w:r>
    </w:p>
    <w:p>
      <w:r>
        <w:t>Custo e financiamento: Envelope Educação/Creches: R$ 30 bi somados em quatro exercícios; eventuais vagas permanentes dependem de cofinanciamento subnacional.</w:t>
      </w:r>
    </w:p>
    <w:p>
      <w:r>
        <w:t>Indicadores verificáveis: Fluência leitora ao fim do 2º ano, IDEB por etapa, evasão, matrículas em creche e conclusão de curso técnico.</w:t>
      </w:r>
    </w:p>
    <w:p>
      <w:r>
        <w:t>Riscos e limites: Expansão sem profissionais qualificados, obras inacabadas e disparidades de capacidade municipal.</w:t>
      </w:r>
    </w:p>
    <w:p>
      <w:r>
        <w:t>Escolha política e trade-off: Não premiar apenas municípios com melhor estrutura inicial; apoio maior deve ir a quem enfrenta obstáculos mais difíceis.</w:t>
      </w:r>
    </w:p>
    <w:p>
      <w:pPr>
        <w:pStyle w:val="Heading1"/>
      </w:pPr>
      <w:r>
        <w:t>EIXO 6 — Segurança pública</w:t>
      </w:r>
    </w:p>
    <w:p>
      <w:r>
        <w:t>Diagnóstico [F/I]: 40.775 MVI em 2025 e riscos persistentes de violência doméstica e organizada [S11]. Polícias e prisões têm estrutura constitucional descentralizada.</w:t>
      </w:r>
    </w:p>
    <w:p>
      <w:r>
        <w:t>Objetivo: Reduzir violência letal, proteger vítimas e enfraquecer finanças e logística das facções com controle legal do uso da força.</w:t>
      </w:r>
    </w:p>
    <w:p>
      <w:r>
        <w:t>Proposta 1. Instituir força-tarefa federativa voluntária de inteligência financeira e desarticulação de lavagem ligada a facções, sob autorização legal e judicial quando exigida.</w:t>
      </w:r>
    </w:p>
    <w:p>
      <w:r>
        <w:t>Proposta 2. Apoiar centros integrados estaduais com metas por homicídios, feminicídios e casos elucidados; repasses condicionados à qualidade do dado e proteção de direitos.</w:t>
      </w:r>
    </w:p>
    <w:p>
      <w:r>
        <w:t>Proposta 3. Ampliar perícia, proteção de testemunhas e rastreabilidade de armas e munições adquiridas legalmente, respeitada competência dos órgãos.</w:t>
      </w:r>
    </w:p>
    <w:p>
      <w:r>
        <w:t>Proposta 4. Criar programa de redução de reincidência com qualificação prisional e monitoramento independente de abusos.</w:t>
      </w:r>
    </w:p>
    <w:p>
      <w:r>
        <w:t>Instrumento e competências: Ministério da Justiça, PF, PRF, Senappen e SUSP [S18] em cooperação com governadores; sem “federalização” unilateral de PM ou polícia civil. Quebra de sigilo exige base legal.</w:t>
      </w:r>
    </w:p>
    <w:p>
      <w:r>
        <w:t>Prazo: 100 dias mapa de riscos; 2027 convênios e metas; 2028–2030 expansão.</w:t>
      </w:r>
    </w:p>
    <w:p>
      <w:r>
        <w:t>Custo e financiamento: Envelope Segurança: R$ 14 bi acumulados; contrapartida estadual e avaliação externa obrigatórias.</w:t>
      </w:r>
    </w:p>
    <w:p>
      <w:r>
        <w:t>Indicadores verificáveis: MVI por 100 mil, feminicídios, esclarecimento de crimes, reincidência em coortes comparáveis e apreensão de ativos de redes comprovadamente criminosas.</w:t>
      </w:r>
    </w:p>
    <w:p>
      <w:r>
        <w:t>Riscos e limites: Efeito deslocamento do crime, violência policial, violações processuais e competição política entre entes.</w:t>
      </w:r>
    </w:p>
    <w:p>
      <w:r>
        <w:t>Escolha política e trade-off: Não atrelar bônus a número bruto de prisões ou mortes em confronto; mensurar redução de vítimas e qualidade da investigação.</w:t>
      </w:r>
    </w:p>
    <w:p>
      <w:pPr>
        <w:pStyle w:val="Heading1"/>
      </w:pPr>
      <w:r>
        <w:t>EIXO 7 — Justiça e instituições</w:t>
      </w:r>
    </w:p>
    <w:p>
      <w:r>
        <w:t>Diagnóstico [F/I]: Execução de políticas exige segurança jurídica e controle da administração; corrupção e morosidade judicial não são resolvidas por comando pessoal do presidente.</w:t>
      </w:r>
    </w:p>
    <w:p>
      <w:r>
        <w:t>Objetivo: Fortalecer integridade do Executivo e acesso à justiça, resguardando autonomia dos demais Poderes.</w:t>
      </w:r>
    </w:p>
    <w:p>
      <w:r>
        <w:t>Proposta 1. Criar matriz pública de risco para contratos federais com auditoria prévia de obras acima de limiar transparente e seleção técnica.</w:t>
      </w:r>
    </w:p>
    <w:p>
      <w:r>
        <w:t>Proposta 2. Digitalizar processos administrativos de reparação e acesso à informação, com resposta em linguagem simples e instância recursal.</w:t>
      </w:r>
    </w:p>
    <w:p>
      <w:r>
        <w:t>Proposta 3. Propor lei de proteção efetiva a denunciantes de boa-fé e integridade de compras, com garantias contra acusações anônimas abusivas.</w:t>
      </w:r>
    </w:p>
    <w:p>
      <w:r>
        <w:t>Proposta 4. Negociar com Justiça, Ministério Público e Defensorias interoperabilidade de informações estritamente legais, sem subordinação institucional.</w:t>
      </w:r>
    </w:p>
    <w:p>
      <w:r>
        <w:t>Instrumento e competências: CGU, AGU e órgãos do Executivo podem agir por atos próprios; alterações processuais e orçamento do sistema de justiça exigem Congresso e órgãos autônomos.</w:t>
      </w:r>
    </w:p>
    <w:p>
      <w:r>
        <w:t>Prazo: 2027 transparência e projeto; 2028–2030 auditorias de retorno e interoperabilidade.</w:t>
      </w:r>
    </w:p>
    <w:p>
      <w:r>
        <w:t>Custo e financiamento: Principalmente custeio e modernização já previstos em Administração Pública; sem promessa de reduzir orçamento do Judiciário unilateralmente.</w:t>
      </w:r>
    </w:p>
    <w:p>
      <w:r>
        <w:t>Indicadores verificáveis: Prazo de resposta, taxa de contratos com publicação integral, achados de auditoria corrigidos, tempo de acesso aos serviços.</w:t>
      </w:r>
    </w:p>
    <w:p>
      <w:r>
        <w:t>Riscos e limites: Proteção de dados, excesso burocrático e independência das instituições.</w:t>
      </w:r>
    </w:p>
    <w:p>
      <w:r>
        <w:t>Escolha política e trade-off: Nunca usar ministério ou PF para perseguir adversários; investigações devem seguir competência e devido processo.</w:t>
      </w:r>
    </w:p>
    <w:p>
      <w:pPr>
        <w:pStyle w:val="Heading1"/>
      </w:pPr>
      <w:r>
        <w:t>EIXO 8 — Defesa nacional</w:t>
      </w:r>
    </w:p>
    <w:p>
      <w:r>
        <w:t>Diagnóstico [F/I]: Fronteiras extensas, infraestrutura crítica, Amazônia e dependência de insumos tecnológicos demandam defesa orientada por capacidades, não prestígio.</w:t>
      </w:r>
    </w:p>
    <w:p>
      <w:r>
        <w:t>Objetivo: Construir prontidão, defesa cibernética, fiscalização territorial e compras militares responsáveis.</w:t>
      </w:r>
    </w:p>
    <w:p>
      <w:r>
        <w:t>Proposta 1. Priorizar manutenção e disponibilidade de equipamentos antes de aquisições de alta visibilidade.</w:t>
      </w:r>
    </w:p>
    <w:p>
      <w:r>
        <w:t>Proposta 2. Organizar plano conjunto de fronteira terrestre, fluvial e marítima com atuação militar limitada às hipóteses legais, complementando fiscalização civil.</w:t>
      </w:r>
    </w:p>
    <w:p>
      <w:r>
        <w:t>Proposta 3. Criar comando de interoperabilidade de ciberdefesa da administração federal e resposta a incidentes críticos.</w:t>
      </w:r>
    </w:p>
    <w:p>
      <w:r>
        <w:t>Proposta 4. Contratar P&amp;D dual em satélites, sensoriamento e comunicações seguras, com produção local quando economicamente justificada.</w:t>
      </w:r>
    </w:p>
    <w:p>
      <w:r>
        <w:t>Instrumento e competências: Ações de comando dentro da lei; orçamento da Defesa sujeito à LOA e compras ao devido procedimento; acordos internacionais conforme competências constitucionais.</w:t>
      </w:r>
    </w:p>
    <w:p>
      <w:r>
        <w:t>Prazo: 2027 inventário de prontidão; 2028–2030 manutenção e projetos pilotos.</w:t>
      </w:r>
    </w:p>
    <w:p>
      <w:r>
        <w:t>Custo e financiamento: Repriorização interna da Defesa; eventual cofinanciamento de inovação classificado dentro de Ciência, sem somatório indevido.</w:t>
      </w:r>
    </w:p>
    <w:p>
      <w:r>
        <w:t>Indicadores verificáveis: Disponibilidade operacional dos meios, resposta cibernética, integridade de fronteira e auditorias de contratos.</w:t>
      </w:r>
    </w:p>
    <w:p>
      <w:r>
        <w:t>Riscos e limites: Desvios de procurement, resistência corporativa, restrições de tecnologia e escalada regional.</w:t>
      </w:r>
    </w:p>
    <w:p>
      <w:r>
        <w:t>Escolha política e trade-off: Sem orçamento bélico ilimitado e sem usar Forças Armadas como polícia ordinária permanente.</w:t>
      </w:r>
    </w:p>
    <w:p>
      <w:pPr>
        <w:pStyle w:val="Heading1"/>
      </w:pPr>
      <w:r>
        <w:t>EIXO 9 — Infraestrutura e transporte</w:t>
      </w:r>
    </w:p>
    <w:p>
      <w:r>
        <w:t>Diagnóstico [F/I]: Custos logísticos altos e projetos paralisados retiram competitividade; muitos trechos rodoviários dependem de manutenção e não de anúncio de obra.</w:t>
      </w:r>
    </w:p>
    <w:p>
      <w:r>
        <w:t>Objetivo: Reduzir interrupções e custos de transporte com carteira plurianual, uso racional de concessões e metas de serviço.</w:t>
      </w:r>
    </w:p>
    <w:p>
      <w:r>
        <w:t>Proposta 1. Publicar fila nacional de projetos de ferrovias, rodovias, portos e drenagem, cada um com estudo de demanda, licença e análise de custo-benefício.</w:t>
      </w:r>
    </w:p>
    <w:p>
      <w:r>
        <w:t>Proposta 2. Priorizar manutenção preventiva em rodovias federais com contratos por desempenho e controle eletrônico.</w:t>
      </w:r>
    </w:p>
    <w:p>
      <w:r>
        <w:t>Proposta 3. Apoiar projetos ferroviários e cabotagem com neutralidade competitiva e contratos de acesso adequados.</w:t>
      </w:r>
    </w:p>
    <w:p>
      <w:r>
        <w:t>Proposta 4. Estruturar PPPs e concessões com transparência de tarifas, garantias contingentes e avaliação de demanda.</w:t>
      </w:r>
    </w:p>
    <w:p>
      <w:r>
        <w:t>Instrumento e competências: DNIT, ANTT, ANTAQ, Infra S.A. e União dentro de atribuições; municípios/estados cuidam mobilidade urbana; projetos e concessões sujeitos a regras próprias.</w:t>
      </w:r>
    </w:p>
    <w:p>
      <w:r>
        <w:t>Prazo: 2027 inventário e revisão; 2028–2030 obras elegíveis/execução contratada.</w:t>
      </w:r>
    </w:p>
    <w:p>
      <w:r>
        <w:t>Custo e financiamento: Envelope Infraestrutura/Adaptação R$ 17 bi somados; mobilização privada somente em carteiras com contratos e riscos publicados.</w:t>
      </w:r>
    </w:p>
    <w:p>
      <w:r>
        <w:t>Indicadores verificáveis: Índice de condição do pavimento, tempo de viagem, custo logístico, atrasos em obras e conformidade de concessionárias.</w:t>
      </w:r>
    </w:p>
    <w:p>
      <w:r>
        <w:t>Riscos e limites: Judicialização, sobrecusto, falta de demanda ou contratos que repassem riscos excessivos ao contribuinte.</w:t>
      </w:r>
    </w:p>
    <w:p>
      <w:r>
        <w:t>Escolha política e trade-off: Nenhuma concessão será contabilizada como receita permanente sem pagamento efetivo ou garantia de retorno.</w:t>
      </w:r>
    </w:p>
    <w:p>
      <w:pPr>
        <w:pStyle w:val="Heading1"/>
      </w:pPr>
      <w:r>
        <w:t>EIXO 10 — Energia e recursos naturais</w:t>
      </w:r>
    </w:p>
    <w:p>
      <w:r>
        <w:t>Diagnóstico [F/I]: Brasil possui oportunidades em fontes renováveis e petróleo, porém enfrenta gargalos de transmissão, previsibilidade e coordenação ambiental.</w:t>
      </w:r>
    </w:p>
    <w:p>
      <w:r>
        <w:t>Objetivo: Garantir confiabilidade e preço competitivo enquanto reduz emissões no longo prazo.</w:t>
      </w:r>
    </w:p>
    <w:p>
      <w:r>
        <w:t>Proposta 1. Priorizar leilões e reforços de transmissão sujeitos à análise de demanda e confiabilidade.</w:t>
      </w:r>
    </w:p>
    <w:p>
      <w:r>
        <w:t>Proposta 2. Manter coexistência transitória de petróleo e gás com fiscalização de emissões e destinação prudente de receitas voláteis.</w:t>
      </w:r>
    </w:p>
    <w:p>
      <w:r>
        <w:t>Proposta 3. Apoiar estudos técnicos independentes de novos projetos nucleares e continuidade segura das instalações, sem decidir obra irreversível antes de custo e licenciamento.</w:t>
      </w:r>
    </w:p>
    <w:p>
      <w:r>
        <w:t>Proposta 4. Estimular armazenamento, gestão de demanda, eficiência industrial e integração de renováveis.</w:t>
      </w:r>
    </w:p>
    <w:p>
      <w:r>
        <w:t>Instrumento e competências: MME, EPE, ANEEL e órgãos competentes, resguardadas competências regulatórias. Novas usinas nucleares precisam legislação, licenciamento, orçamento, pactos e avaliações técnicas.</w:t>
      </w:r>
    </w:p>
    <w:p>
      <w:r>
        <w:t>Prazo: 2027 plano energético; 2028–2030 licitações ou estudos segundo viabilidade.</w:t>
      </w:r>
    </w:p>
    <w:p>
      <w:r>
        <w:t>Custo e financiamento: Sem novo cheque fiscal nuclear neste mandato; P&amp;D e rede via mecanismos existentes e cofinanciamento privado, respeitando envelope Ciência.</w:t>
      </w:r>
    </w:p>
    <w:p>
      <w:r>
        <w:t>Indicadores verificáveis: Custo total e interrupções do suprimento, emissões, capacidade de transmissão, projetos licenciados e concluintes.</w:t>
      </w:r>
    </w:p>
    <w:p>
      <w:r>
        <w:t>Riscos e limites: Subestimativa de custos, mudanças tecnológicas, danos socioambientais e dependência externa.</w:t>
      </w:r>
    </w:p>
    <w:p>
      <w:r>
        <w:t>Escolha política e trade-off: Não fixar preço administrado generalizado para conter inflação; usar regulação, eficiência e concorrência.</w:t>
      </w:r>
    </w:p>
    <w:p>
      <w:pPr>
        <w:pStyle w:val="Heading1"/>
      </w:pPr>
      <w:r>
        <w:t>EIXO 11 — Agricultura e meio ambiente</w:t>
      </w:r>
    </w:p>
    <w:p>
      <w:r>
        <w:t>Diagnóstico [F/I]: A agropecuária gera receitas, mas a pressão sobre solos, secas e perda de vegetação reduz resiliência; INPE mostra menor desmatamento estimado em 2026, não extinção do problema [S12].</w:t>
      </w:r>
    </w:p>
    <w:p>
      <w:r>
        <w:t>Objetivo: Produzir mais por hectare com florestas em pé, segurança jurídica rural e conservação verificável.</w:t>
      </w:r>
    </w:p>
    <w:p>
      <w:r>
        <w:t>Proposta 1. Condicionar linhas oficiais de crédito rural favorecidas a critérios proporcionais de regularidade ambiental, com contraditório e apoio à adequação.</w:t>
      </w:r>
    </w:p>
    <w:p>
      <w:r>
        <w:t>Proposta 2. Ampliar assistência técnica a agricultura familiar, irrigação eficiente e recuperação de pastagens degradadas.</w:t>
      </w:r>
    </w:p>
    <w:p>
      <w:r>
        <w:t>Proposta 3. Apoiar fiscalização contra grilagem, garimpo ilegal, madeira clandestina e trabalho escravo, com inteligência patrimonial.</w:t>
      </w:r>
    </w:p>
    <w:p>
      <w:r>
        <w:t>Proposta 4. Remunerar serviços ambientais elegíveis por resultado auditado e fomentar cadeias de bioeconomia comunitária.</w:t>
      </w:r>
    </w:p>
    <w:p>
      <w:r>
        <w:t>Instrumento e competências: MAPA, MMA, IBAMA, Incra, bancos e estados em suas atribuições; reconhecimento de terras e licenças respeitam processo, provas e direitos constitucionais.</w:t>
      </w:r>
    </w:p>
    <w:p>
      <w:r>
        <w:t>Prazo: 2027 critérios e pilotos; 2028–2030 expansão aferida.</w:t>
      </w:r>
    </w:p>
    <w:p>
      <w:r>
        <w:t>Custo e financiamento: Envelope Clima/Conservação R$ 9 bi em quatro anos; crédito rural existente não é despesa orçamentária integral.</w:t>
      </w:r>
    </w:p>
    <w:p>
      <w:r>
        <w:t>Indicadores verificáveis: Desmatamento PRODES, intensidade de emissões, hectares recuperados e renda de comunidades participantes.</w:t>
      </w:r>
    </w:p>
    <w:p>
      <w:r>
        <w:t>Riscos e limites: Exclusão de pequenos produtores sem assistência, fraude de créditos ambientais e insegurança fundiária.</w:t>
      </w:r>
    </w:p>
    <w:p>
      <w:r>
        <w:t>Escolha política e trade-off: Produção e conservação são compatíveis quando a regra é estável, as sanções são proporcionais e há alternativa econômica.</w:t>
      </w:r>
    </w:p>
    <w:p>
      <w:pPr>
        <w:pStyle w:val="Heading1"/>
      </w:pPr>
      <w:r>
        <w:t>EIXO 12 — Habitação, cidades e saneamento</w:t>
      </w:r>
    </w:p>
    <w:p>
      <w:r>
        <w:t>Diagnóstico [F/I]: Insegurança habitacional e insuficiência de redes dependem de solo urbano, capacidade municipal e regulação; SINISA 2025 informa dados de 2024 [S13].</w:t>
      </w:r>
    </w:p>
    <w:p>
      <w:r>
        <w:t>Objetivo: Aumentar moradia digna, drenagem, água e coleta/tratamento de esgoto priorizando áreas vulneráveis.</w:t>
      </w:r>
    </w:p>
    <w:p>
      <w:r>
        <w:t>Proposta 1. Criar plataforma nacional de contratos e indicadores de água, esgoto, resíduos e perdas com separação das bases populacionais.</w:t>
      </w:r>
    </w:p>
    <w:p>
      <w:r>
        <w:t>Proposta 2. Cofinanciar projetos tecnicamente maduros em cidades vulneráveis, priorizando estação de tratamento e expansão de rede, não inaugurações isoladas.</w:t>
      </w:r>
    </w:p>
    <w:p>
      <w:r>
        <w:t>Proposta 3. Apoiar regularização fundiária com georreferenciamento, assistência jurídica e urbanização.</w:t>
      </w:r>
    </w:p>
    <w:p>
      <w:r>
        <w:t>Proposta 4. Contratar habitação social perto de emprego e transporte, com metas de ocupação e manutenção.</w:t>
      </w:r>
    </w:p>
    <w:p>
      <w:r>
        <w:t>Instrumento e competências: União financia e coordena; titulares de serviço são municípios ou arranjos regionais, com contratos públicos/privados regulados. Urbanismo e uso do solo são competências municipais.</w:t>
      </w:r>
    </w:p>
    <w:p>
      <w:r>
        <w:t>Prazo: 2027 priorização; 2028–2030 execução sob marcos [S17].</w:t>
      </w:r>
    </w:p>
    <w:p>
      <w:r>
        <w:t>Custo e financiamento: Envelopes Saneamento R$ 19 bi e Habitação R$ 10 bi, lançados separadamente no Volume 05.</w:t>
      </w:r>
    </w:p>
    <w:p>
      <w:r>
        <w:t>Indicadores verificáveis: Cobertura de coleta e tratamento com metodologia SINISA, contratos concluídos, perdas de água, famílias efetivamente atendidas e distância a transporte.</w:t>
      </w:r>
    </w:p>
    <w:p>
      <w:r>
        <w:t>Riscos e limites: Obras sem operação, adensamento precário, reassentamento inadequado e PPPs mal reguladas.</w:t>
      </w:r>
    </w:p>
    <w:p>
      <w:r>
        <w:t>Escolha política e trade-off: Nenhuma meta de universalização nacional será atribuída somente ao Executivo federal em quatro anos.</w:t>
      </w:r>
    </w:p>
    <w:p>
      <w:pPr>
        <w:pStyle w:val="Heading1"/>
      </w:pPr>
      <w:r>
        <w:t>EIXO 13 — Previdência e assistência social</w:t>
      </w:r>
    </w:p>
    <w:p>
      <w:r>
        <w:t>Diagnóstico [F/I]: Envelhecimento, informalidade e desigualdade tensionam previdência e assistência de longo prazo. Mudanças abruptas têm alto impacto distributivo.</w:t>
      </w:r>
    </w:p>
    <w:p>
      <w:r>
        <w:t>Objetivo: Reduzir fraude e tempo de espera sem romper direitos adquiridos, assegurando proteção a vulneráveis e equilíbrio atuarial.</w:t>
      </w:r>
    </w:p>
    <w:p>
      <w:r>
        <w:t>Proposta 1. Integrar prova de vida e auditoria de benefícios com protocolos de contraditório e proteção de dados.</w:t>
      </w:r>
    </w:p>
    <w:p>
      <w:r>
        <w:t>Proposta 2. Publicar filas de análise do INSS por espécie e região, com força-tarefa de perícias em pontos críticos.</w:t>
      </w:r>
    </w:p>
    <w:p>
      <w:r>
        <w:t>Proposta 3. Aperfeiçoar encaminhamento de beneficiários aptos a cursos e vagas, sem condicionar de forma ilegal benefícios assistenciais.</w:t>
      </w:r>
    </w:p>
    <w:p>
      <w:r>
        <w:t>Proposta 4. Produzir estudo atuarial anual com cenários demográficos e propostas debatidas com Congresso e sociedade.</w:t>
      </w:r>
    </w:p>
    <w:p>
      <w:r>
        <w:t>Instrumento e competências: INSS e Previdência podem melhorar gestão; mudanças nas regras de benefícios e financiamento exigem lei ou emenda, com proteção das situações constitucionalmente tuteladas.</w:t>
      </w:r>
    </w:p>
    <w:p>
      <w:r>
        <w:t>Prazo: 2027 diagnóstico e atendimento; 2028–2030 indicadores e debate atuarial.</w:t>
      </w:r>
    </w:p>
    <w:p>
      <w:r>
        <w:t>Custo e financiamento: Reorganização de dotações existentes e eficiência; NÃO projetar corte líquido automático dos benefícios para financiar novas despesas.</w:t>
      </w:r>
    </w:p>
    <w:p>
      <w:r>
        <w:t>Indicadores verificáveis: Fila mediana INSS, erros confirmados revertidos, cobertura protetiva e custo administrativo por requerimento.</w:t>
      </w:r>
    </w:p>
    <w:p>
      <w:r>
        <w:t>Riscos e limites: Exclusão indevida, vieses de automação, gasto demográfico acima do projetado e litigiosidade.</w:t>
      </w:r>
    </w:p>
    <w:p>
      <w:r>
        <w:t>Escolha política e trade-off: Nenhuma promessa de “resolver o déficit previdenciário” em um mandato sem acordo social e cálculo público.</w:t>
      </w:r>
    </w:p>
    <w:p>
      <w:pPr>
        <w:pStyle w:val="Heading1"/>
      </w:pPr>
      <w:r>
        <w:t>EIXO 14 — Ciência, tecnologia e inteligência artificial</w:t>
      </w:r>
    </w:p>
    <w:p>
      <w:r>
        <w:t>Diagnóstico [F/I]: Baixa difusão tecnológica e dependência de infraestrutura digital são limitações produtivas. Exigir soberania integral de chips em quatro anos seria fantasioso.</w:t>
      </w:r>
    </w:p>
    <w:p>
      <w:r>
        <w:t>Objetivo: Desenvolver software, ciência aplicada e acesso a infraestrutura computacional com transparência e direitos.</w:t>
      </w:r>
    </w:p>
    <w:p>
      <w:r>
        <w:t>Proposta 1. Cofinanciar laboratórios públicos de IA e computação de alto desempenho abertos por editais, com auditoria de cibersegurança e energia.</w:t>
      </w:r>
    </w:p>
    <w:p>
      <w:r>
        <w:t>Proposta 2. Criar compras públicas de inovação com metas verificáveis em diagnóstico SUS, educação e resposta climática, evitando fornecedor único.</w:t>
      </w:r>
    </w:p>
    <w:p>
      <w:r>
        <w:t>Proposta 3. Apoiar desenho, teste e embalagem de chips e equipamentos onde houver vantagem, sem prometer fabricação completa de ponta até 2030.</w:t>
      </w:r>
    </w:p>
    <w:p>
      <w:r>
        <w:t>Proposta 4. Exigir avaliação de risco, documentação e contestação humana para decisões automatizadas de alto impacto em serviços federais.</w:t>
      </w:r>
    </w:p>
    <w:p>
      <w:r>
        <w:t>Instrumento e competências: MCTI, Finep, universidades, laboratórios, BNDES e ANPD dentro da competência; regras vinculantes amplas de IA dependem de legislação, sem substituir a LGPD.</w:t>
      </w:r>
    </w:p>
    <w:p>
      <w:r>
        <w:t>Prazo: 2027 editais e regras; 2028–2030 laboratórios e projetos demonstradores.</w:t>
      </w:r>
    </w:p>
    <w:p>
      <w:r>
        <w:t>Custo e financiamento: Envelope Ciência/Digital R$ 19 bi somados 2027–2030, inclusive P&amp;D cruzado com os eixos 1 e 8.</w:t>
      </w:r>
    </w:p>
    <w:p>
      <w:r>
        <w:t>Indicadores verificáveis: Artigos e patentes com aplicação, empresas tecnológicas nascentes sobreviventes, soluções adotadas, incidentes de dados e qualificação técnica.</w:t>
      </w:r>
    </w:p>
    <w:p>
      <w:r>
        <w:t>Riscos e limites: Concentração em capitais, dependência de fornecedor, consumo energético e resultados científicos sem adoção.</w:t>
      </w:r>
    </w:p>
    <w:p>
      <w:r>
        <w:t>Escolha política e trade-off: Dados de cidadãos não serão usados em treinamento indiscriminado e sem base legal.</w:t>
      </w:r>
    </w:p>
    <w:p>
      <w:pPr>
        <w:pStyle w:val="Heading1"/>
      </w:pPr>
      <w:r>
        <w:t>EIXO 15 — Administração pública e reforma do Estado</w:t>
      </w:r>
    </w:p>
    <w:p>
      <w:r>
        <w:t>Diagnóstico [F/I]: Rotatividade gerencial e fragmentação dos sistemas elevam custo e reduzem qualidade dos serviços.</w:t>
      </w:r>
    </w:p>
    <w:p>
      <w:r>
        <w:t>Objetivo: Criar serviço público profissional, interoperável, transparente e medido por resultado, sem perseguição a servidores.</w:t>
      </w:r>
    </w:p>
    <w:p>
      <w:r>
        <w:t>Proposta 1. Criar painel de produtividade de serviços do Executivo federal com espera, qualidade, custo, satisfação e correção de erros.</w:t>
      </w:r>
    </w:p>
    <w:p>
      <w:r>
        <w:t>Proposta 2. Padronizar compras de TIC e interoperabilidade em padrões abertos, respeitando LGPD e sigilos legais.</w:t>
      </w:r>
    </w:p>
    <w:p>
      <w:r>
        <w:t>Proposta 3. Revisar subsídios, contratos e imóveis ociosos com avaliação de uso e processo público de desmobilização.</w:t>
      </w:r>
    </w:p>
    <w:p>
      <w:r>
        <w:t>Proposta 4. Instituir formação gerencial e auditoria de algoritmos usados para conceder ou negar benefícios.</w:t>
      </w:r>
    </w:p>
    <w:p>
      <w:r>
        <w:t>Instrumento e competências: Atos administrativos para organização e gestão; carreiras, remunerações, privatização de estatais e alterações orgânicas dependem de instrumentos legislativos pertinentes.</w:t>
      </w:r>
    </w:p>
    <w:p>
      <w:r>
        <w:t>Prazo: 100 dias diagnóstico; 2027 primeiros serviços; 2028–2030 escala.</w:t>
      </w:r>
    </w:p>
    <w:p>
      <w:r>
        <w:t>Custo e financiamento: Envelope Administração/Integridade R$ 3,5 bi 2027–2030; economias de compras usadas apenas após efetivação e apuração.</w:t>
      </w:r>
    </w:p>
    <w:p>
      <w:r>
        <w:t>Indicadores verificáveis: Tempo e custo por serviço, taxa de erros, auditorias implementadas e satisfação verificável.</w:t>
      </w:r>
    </w:p>
    <w:p>
      <w:r>
        <w:t>Riscos e limites: Desorganização de sistemas, automatização discriminatória, captura de cargos e falsa economia.</w:t>
      </w:r>
    </w:p>
    <w:p>
      <w:r>
        <w:t>Escolha política e trade-off: Manter Petrobras, Banco do Brasil e Caixa sob governança robusta, avaliar privatização seletiva de ativos não estratégicos caso a caso.</w:t>
      </w:r>
    </w:p>
    <w:p>
      <w:pPr>
        <w:pStyle w:val="Heading1"/>
      </w:pPr>
      <w:r>
        <w:t>EIXO 16 — Cultura, turismo e esporte</w:t>
      </w:r>
    </w:p>
    <w:p>
      <w:r>
        <w:t>Diagnóstico [F/I]: Patrimônio e economia criativa geram identidade e trabalho; investimentos indiscriminados podem se concentrar nos grandes centros.</w:t>
      </w:r>
    </w:p>
    <w:p>
      <w:r>
        <w:t>Objetivo: Democratizar acesso e formar cadeias sustentáveis de cultura, patrimônio, turismo e esporte escolar.</w:t>
      </w:r>
    </w:p>
    <w:p>
      <w:r>
        <w:t>Proposta 1. Criar editais culturais com critérios regionais, transparência de jurados e prestação de contas proporcional ao porte.</w:t>
      </w:r>
    </w:p>
    <w:p>
      <w:r>
        <w:t>Proposta 2. Financiar conservação de patrimônio com plano de manutenção e valorização de profissionais locais.</w:t>
      </w:r>
    </w:p>
    <w:p>
      <w:r>
        <w:t>Proposta 3. Apoiar rotas turísticas integradas de biomas e patrimônio com acessibilidade e conservação.</w:t>
      </w:r>
    </w:p>
    <w:p>
      <w:r>
        <w:t>Proposta 4. Associar esporte educacional a escolas públicas e espaços comunitários seguros, em cooperação federativa.</w:t>
      </w:r>
    </w:p>
    <w:p>
      <w:r>
        <w:t>Instrumento e competências: Ministérios competentes, IPHAN, Embratur, estados e municípios; financiamento já existente com reordenamento e parcerias privadas, vedada propaganda pessoal.</w:t>
      </w:r>
    </w:p>
    <w:p>
      <w:r>
        <w:t>Prazo: 2027 desenho e editais; 2028–2030 manutenção e avaliação.</w:t>
      </w:r>
    </w:p>
    <w:p>
      <w:r>
        <w:t>Custo e financiamento: Sem criação de novo envelope autônomo no quadro fiscal; otimização de dotações regulares e projetos regionais elegíveis ao envelope Infraestrutura.</w:t>
      </w:r>
    </w:p>
    <w:p>
      <w:r>
        <w:t>Indicadores verificáveis: Participação territorial, emprego cultural formal, patrimônio conservado e frequência em atividades esportivas.</w:t>
      </w:r>
    </w:p>
    <w:p>
      <w:r>
        <w:t>Riscos e limites: Captura de editais, uso partidário e turismo com pressão ambiental.</w:t>
      </w:r>
    </w:p>
    <w:p>
      <w:r>
        <w:t>Escolha política e trade-off: Nem liberdade artística nem acesso a editais dependerão de lealdade política.</w:t>
      </w:r>
    </w:p>
    <w:p>
      <w:pPr>
        <w:pStyle w:val="Heading1"/>
      </w:pPr>
      <w:r>
        <w:t>EIXO 17 — Direitos civis e questões sociais</w:t>
      </w:r>
    </w:p>
    <w:p>
      <w:r>
        <w:t>Diagnóstico [F/I]: Violência de gênero, desigualdade no acesso, vazamentos de dados e discriminação demandam capacidade efetiva de proteção.</w:t>
      </w:r>
    </w:p>
    <w:p>
      <w:r>
        <w:t>Objetivo: Proteger liberdade de consciência, expressão, privacidade e igualdade perante a lei, inclusive para opositores.</w:t>
      </w:r>
    </w:p>
    <w:p>
      <w:r>
        <w:t>Proposta 1. Estabelecer auditoria independente de sistemas automatizados usados em benefícios, concursos e policiamento federal.</w:t>
      </w:r>
    </w:p>
    <w:p>
      <w:r>
        <w:t>Proposta 2. Integrar serviços federais de apoio a vítimas de violência doméstica com rede local e procedimentos de acolhimento.</w:t>
      </w:r>
    </w:p>
    <w:p>
      <w:r>
        <w:t>Proposta 3. Garantir acessibilidade digital, intérpretes e linguagem simples em todos os serviços federais prioritários.</w:t>
      </w:r>
    </w:p>
    <w:p>
      <w:r>
        <w:t>Proposta 4. Aperfeiçoar canais de denúncia e proteção a crianças contra violência online dentro de reserva legal e supervisão judicial quando cabível.</w:t>
      </w:r>
    </w:p>
    <w:p>
      <w:r>
        <w:t>Instrumento e competências: Executivo melhora seus serviços e envia projetos necessários; plataformas e imprensa não receberão censura administrativa discricionária; ANPD e Judiciário mantêm competências.</w:t>
      </w:r>
    </w:p>
    <w:p>
      <w:r>
        <w:t>Prazo: 2027 padrões de serviço; 2028–2030 auditorias e execução descentralizada.</w:t>
      </w:r>
    </w:p>
    <w:p>
      <w:r>
        <w:t>Custo e financiamento: Parte de Administração e Saúde/Segurança, sem duplicação de custo; propostas legais com análise de impacto própria.</w:t>
      </w:r>
    </w:p>
    <w:p>
      <w:r>
        <w:t>Indicadores verificáveis: Incidentes de vazamento, cumprimento de acessibilidade, tempo de proteção a vítimas e decisões automatizadas revertidas.</w:t>
      </w:r>
    </w:p>
    <w:p>
      <w:r>
        <w:t>Riscos e limites: Vigilância indevida, burocratização de plataformas e seletividade policial.</w:t>
      </w:r>
    </w:p>
    <w:p>
      <w:r>
        <w:t>Escolha política e trade-off: A liberdade de expressão não protege ameaças e crimes tipificados, mas opinião impopular não será punida por discordância do governo.</w:t>
      </w:r>
    </w:p>
    <w:p>
      <w:pPr>
        <w:pStyle w:val="Heading1"/>
      </w:pPr>
      <w:r>
        <w:t>EIXO 18 — Desenvolvimento regional</w:t>
      </w:r>
    </w:p>
    <w:p>
      <w:r>
        <w:t>Diagnóstico [F/I]: Diferenças de renda, logística, qualificação e disponibilidade hídrica alteram potencial de crescimento regional.</w:t>
      </w:r>
    </w:p>
    <w:p>
      <w:r>
        <w:t>Objetivo: Interiorizar investimentos de qualidade sem impor uma mesma solução ao semiárido, Amazônia ou regiões metropolitanas.</w:t>
      </w:r>
    </w:p>
    <w:p>
      <w:r>
        <w:t>Proposta 1. Firmar pactos de investimento regionais com metas de infraestrutura, educação e saneamento por consórcios e estados.</w:t>
      </w:r>
    </w:p>
    <w:p>
      <w:r>
        <w:t>Proposta 2. Priorizar Nordeste em água, polos de energias renováveis e formação profissional; Norte em conectividade, logística fluvial e bioeconomia.</w:t>
      </w:r>
    </w:p>
    <w:p>
      <w:r>
        <w:t>Proposta 3. No Centro-Oeste, apoiar pesquisa agroindustrial e recuperação ambiental; no Sudeste, requalificação industrial, moradia e mobilidade; no Sul, gestão de desastres e modernização produtiva.</w:t>
      </w:r>
    </w:p>
    <w:p>
      <w:r>
        <w:t>Proposta 4. Publicar mapa de alocação per capita ponderado por pobreza, riscos climáticos e capacidade fiscal local.</w:t>
      </w:r>
    </w:p>
    <w:p>
      <w:r>
        <w:t>Instrumento e competências: Instrumentos de transferências e fundos existentes; governadores e prefeitos são coexecutores, e escolhas de aplicação devem respeitar regras orçamentárias e conselhos.</w:t>
      </w:r>
    </w:p>
    <w:p>
      <w:r>
        <w:t>Prazo: 2027 desenho territorial; 2028–2030 execução e revisão.</w:t>
      </w:r>
    </w:p>
    <w:p>
      <w:r>
        <w:t>Custo e financiamento: As ações estão contidas nos envelopes setoriais de Educação, Saneamento, Infraestrutura e Clima; zero lançamento extra por “regionalização”.</w:t>
      </w:r>
    </w:p>
    <w:p>
      <w:r>
        <w:t>Indicadores verificáveis: Dispersão geográfica de recursos, custo por beneficiário, qualidade de serviços e migração de emprego formal.</w:t>
      </w:r>
    </w:p>
    <w:p>
      <w:r>
        <w:t>Riscos e limites: Dispersão política em obras de baixo retorno e capacidade desigual dos municípios.</w:t>
      </w:r>
    </w:p>
    <w:p>
      <w:r>
        <w:t>Escolha política e trade-off: Não dividir dinheiro por afinidade partidária; pesos e critérios nacionais serão publicados.</w:t>
      </w:r>
    </w:p>
    <w:p>
      <w:pPr>
        <w:pStyle w:val="Heading1"/>
      </w:pPr>
      <w:r>
        <w:t>EIXO 19 — Comércio exterior e indústria estratégica</w:t>
      </w:r>
    </w:p>
    <w:p>
      <w:r>
        <w:t>Diagnóstico [F/I]: Superávit comercial de mercadorias não elimina vulnerabilidade tecnológica nem impede choques de preços e barreiras externas [S08].</w:t>
      </w:r>
    </w:p>
    <w:p>
      <w:r>
        <w:t>Objetivo: Diversificar exportações de valor agregado, proteger competição e construir cadeias resilientes.</w:t>
      </w:r>
    </w:p>
    <w:p>
      <w:r>
        <w:t>Proposta 1. Negociar redução de barreiras comerciais e sanitárias com base em evidência, Mercosul e OMC, sem impor metas diplomáticas inatingíveis.</w:t>
      </w:r>
    </w:p>
    <w:p>
      <w:r>
        <w:t>Proposta 2. Criar programa de apoio a pequenas exportadoras de software, serviços e manufaturas com capacitação e acesso a garantias existentes.</w:t>
      </w:r>
    </w:p>
    <w:p>
      <w:r>
        <w:t>Proposta 3. Avaliar apoio temporário a produção nacional estratégica de medicamentos, equipamentos de rede e defesa, com metas e cláusula de saída.</w:t>
      </w:r>
    </w:p>
    <w:p>
      <w:r>
        <w:t>Proposta 4. Diversificar mercados com missões comerciais transparentes e análise de direitos trabalhistas e ambientais nas cadeias.</w:t>
      </w:r>
    </w:p>
    <w:p>
      <w:r>
        <w:t>Instrumento e competências: Itamaraty, MDIC, Camex e Congresso conforme a natureza dos acordos; atuação de bancos públicos sem renúncias fiscais indefinidas.</w:t>
      </w:r>
    </w:p>
    <w:p>
      <w:r>
        <w:t>Prazo: 2027 acordos e diagnósticos; 2028–2030 medidas e encerramentos por avaliação.</w:t>
      </w:r>
    </w:p>
    <w:p>
      <w:r>
        <w:t>Custo e financiamento: Projetos industriais dentro dos R$ 19 bi de Ciência e dos instrumentos ordinários de crédito; custos de seguro/garantias devem ser provisionados.</w:t>
      </w:r>
    </w:p>
    <w:p>
      <w:r>
        <w:t>Indicadores verificáveis: Número de exportadoras recorrentes, diversificação por destino e complexidade de produtos, valor agregado nacional.</w:t>
      </w:r>
    </w:p>
    <w:p>
      <w:r>
        <w:t>Riscos e limites: Retaliações, competição subsidiada, captura setorial e proteção a firmas ineficientes.</w:t>
      </w:r>
    </w:p>
    <w:p>
      <w:r>
        <w:t>Escolha política e trade-off: Conteúdo local somente quando compatível com contratos, leis e compromissos internacionais e quando demonstrar benefício líquido.</w:t>
      </w:r>
    </w:p>
    <w:p>
      <w:pPr>
        <w:pStyle w:val="Heading1"/>
      </w:pPr>
      <w:r>
        <w:t>EIXO 20 — Reforma política e governabilidade</w:t>
      </w:r>
    </w:p>
    <w:p>
      <w:r>
        <w:t>Diagnóstico [F/I]: Presidencialismo de coalizão, fragmentação legislativa e orçamento compartilhado exigem negociação institucional. PHT possui só 8% de cada Casa na simulação.</w:t>
      </w:r>
    </w:p>
    <w:p>
      <w:r>
        <w:t>Objetivo: Formar maioria deliberativa por agenda pública, não por blindagem pessoal e distribuição opaca de favores.</w:t>
      </w:r>
    </w:p>
    <w:p>
      <w:r>
        <w:t>Proposta 1. Publicar acordo programático por capítulos negociáveis: orçamento, alfabetização, SUS, integridade e competitividade.</w:t>
      </w:r>
    </w:p>
    <w:p>
      <w:r>
        <w:t>Proposta 2. Criar mesa federativa trimestral para avaliar metas pactuadas com governadores e entidades municipais.</w:t>
      </w:r>
    </w:p>
    <w:p>
      <w:r>
        <w:t>Proposta 3. Defender rastreabilidade de emendas, beneficiário final, objeto, licitação e execução em portal nacional.</w:t>
      </w:r>
    </w:p>
    <w:p>
      <w:r>
        <w:t>Proposta 4. Propor mecanismos de participação pública estruturados, pareceres regulatórios e consultas com resposta motivada.</w:t>
      </w:r>
    </w:p>
    <w:p>
      <w:r>
        <w:t>Instrumento e competências: Coordenação política do Executivo; alterações eleitorais ou constitucionais dependem do Congresso, e eventual controle de emendas pelo STF segue decisões judiciais.</w:t>
      </w:r>
    </w:p>
    <w:p>
      <w:r>
        <w:t>Prazo: 100 dias instalação; 2027 acordos; 2028–2030 revisões semestrais.</w:t>
      </w:r>
    </w:p>
    <w:p>
      <w:r>
        <w:t>Custo e financiamento: Gestão dentro do orçamento administrativo existente; nenhuma compra de apoio legislativo.</w:t>
      </w:r>
    </w:p>
    <w:p>
      <w:r>
        <w:t>Indicadores verificáveis: Votações por agenda pactuada, transparência das emendas, cumprimento do calendário orçamentário e continuidade dos serviços.</w:t>
      </w:r>
    </w:p>
    <w:p>
      <w:r>
        <w:t>Riscos e limites: Oposição de interesse legítima, defeções, emendas sem rastreabilidade e conflitos entre Poderes.</w:t>
      </w:r>
    </w:p>
    <w:p>
      <w:r>
        <w:t>Escolha política e trade-off: Compromisso público de reconhecer derrotas legislativas e eleitorais, inclusive fracasso de reformas centrais.</w:t>
      </w:r>
    </w:p>
    <w:p>
      <w:pPr>
        <w:pStyle w:val="Heading1"/>
      </w:pPr>
      <w:r>
        <w:t>Quadro de alçadas institucionais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2"/>
        <w:gridCol w:w="3182"/>
        <w:gridCol w:w="3182"/>
      </w:tblGrid>
      <w:tr>
        <w:trPr>
          <w:tblHeader w:val="true"/>
        </w:trPr>
        <w:tc>
          <w:tcPr>
            <w:tcW w:type="dxa" w:w="3182"/>
            <w:shd w:fill="183145"/>
          </w:tcPr>
          <w:p>
            <w:r>
              <w:rPr>
                <w:b/>
                <w:color w:val="FFFFFF"/>
                <w:sz w:val="16"/>
              </w:rPr>
              <w:t>Instrumento</w:t>
            </w:r>
          </w:p>
        </w:tc>
        <w:tc>
          <w:tcPr>
            <w:tcW w:type="dxa" w:w="3182"/>
            <w:shd w:fill="183145"/>
          </w:tcPr>
          <w:p>
            <w:r>
              <w:rPr>
                <w:b/>
                <w:color w:val="FFFFFF"/>
                <w:sz w:val="16"/>
              </w:rPr>
              <w:t>Exemplos no programa</w:t>
            </w:r>
          </w:p>
        </w:tc>
        <w:tc>
          <w:tcPr>
            <w:tcW w:type="dxa" w:w="3182"/>
            <w:shd w:fill="183145"/>
          </w:tcPr>
          <w:p>
            <w:r>
              <w:rPr>
                <w:b/>
                <w:color w:val="FFFFFF"/>
                <w:sz w:val="16"/>
              </w:rPr>
              <w:t>Condição indispensável</w:t>
            </w:r>
          </w:p>
        </w:tc>
      </w:tr>
      <w:tr>
        <w:tc>
          <w:tcPr>
            <w:tcW w:type="dxa" w:w="3182"/>
            <w:vAlign w:val="center"/>
          </w:tcPr>
          <w:p>
            <w:pPr>
              <w:spacing w:after="40" w:before="40"/>
            </w:pPr>
            <w:r>
              <w:rPr>
                <w:color w:val="183145"/>
                <w:sz w:val="16"/>
              </w:rPr>
              <w:t>Ato administrativo federal</w:t>
            </w:r>
          </w:p>
        </w:tc>
        <w:tc>
          <w:tcPr>
            <w:tcW w:type="dxa" w:w="3182"/>
            <w:vAlign w:val="center"/>
          </w:tcPr>
          <w:p>
            <w:pPr>
              <w:spacing w:after="40" w:before="40"/>
            </w:pPr>
            <w:r>
              <w:rPr>
                <w:color w:val="183145"/>
                <w:sz w:val="16"/>
              </w:rPr>
              <w:t>Painéis de desempenho, coordenação de órgãos, editais federais</w:t>
            </w:r>
          </w:p>
        </w:tc>
        <w:tc>
          <w:tcPr>
            <w:tcW w:type="dxa" w:w="3182"/>
            <w:vAlign w:val="center"/>
          </w:tcPr>
          <w:p>
            <w:pPr>
              <w:spacing w:after="40" w:before="40"/>
            </w:pPr>
            <w:r>
              <w:rPr>
                <w:color w:val="183145"/>
                <w:sz w:val="16"/>
              </w:rPr>
              <w:t>Competência do órgão, orçamento existente, controle judicial</w:t>
            </w:r>
          </w:p>
        </w:tc>
      </w:tr>
      <w:tr>
        <w:tc>
          <w:tcPr>
            <w:tcW w:type="dxa" w:w="3182"/>
            <w:vAlign w:val="center"/>
          </w:tcPr>
          <w:p>
            <w:pPr>
              <w:spacing w:after="40" w:before="40"/>
            </w:pPr>
            <w:r>
              <w:rPr>
                <w:color w:val="183145"/>
                <w:sz w:val="16"/>
              </w:rPr>
              <w:t>Lei ordinária/complementar</w:t>
            </w:r>
          </w:p>
        </w:tc>
        <w:tc>
          <w:tcPr>
            <w:tcW w:type="dxa" w:w="3182"/>
            <w:vAlign w:val="center"/>
          </w:tcPr>
          <w:p>
            <w:pPr>
              <w:spacing w:after="40" w:before="40"/>
            </w:pPr>
            <w:r>
              <w:rPr>
                <w:color w:val="183145"/>
                <w:sz w:val="16"/>
              </w:rPr>
              <w:t>Jornada, tributação progressiva, regulação de plataformas, regramentos</w:t>
            </w:r>
          </w:p>
        </w:tc>
        <w:tc>
          <w:tcPr>
            <w:tcW w:type="dxa" w:w="3182"/>
            <w:vAlign w:val="center"/>
          </w:tcPr>
          <w:p>
            <w:pPr>
              <w:spacing w:after="40" w:before="40"/>
            </w:pPr>
            <w:r>
              <w:rPr>
                <w:color w:val="183145"/>
                <w:sz w:val="16"/>
              </w:rPr>
              <w:t>Aprovação das Casas, sanção ou veto e controles constitucionais</w:t>
            </w:r>
          </w:p>
        </w:tc>
      </w:tr>
      <w:tr>
        <w:tc>
          <w:tcPr>
            <w:tcW w:type="dxa" w:w="3182"/>
            <w:vAlign w:val="center"/>
          </w:tcPr>
          <w:p>
            <w:pPr>
              <w:spacing w:after="40" w:before="40"/>
            </w:pPr>
            <w:r>
              <w:rPr>
                <w:color w:val="183145"/>
                <w:sz w:val="16"/>
              </w:rPr>
              <w:t>Emenda constitucional</w:t>
            </w:r>
          </w:p>
        </w:tc>
        <w:tc>
          <w:tcPr>
            <w:tcW w:type="dxa" w:w="3182"/>
            <w:vAlign w:val="center"/>
          </w:tcPr>
          <w:p>
            <w:pPr>
              <w:spacing w:after="40" w:before="40"/>
            </w:pPr>
            <w:r>
              <w:rPr>
                <w:color w:val="183145"/>
                <w:sz w:val="16"/>
              </w:rPr>
              <w:t>Qualquer alteração constitucional de natureza institucional ou tributária</w:t>
            </w:r>
          </w:p>
        </w:tc>
        <w:tc>
          <w:tcPr>
            <w:tcW w:type="dxa" w:w="3182"/>
            <w:vAlign w:val="center"/>
          </w:tcPr>
          <w:p>
            <w:pPr>
              <w:spacing w:after="40" w:before="40"/>
            </w:pPr>
            <w:r>
              <w:rPr>
                <w:color w:val="183145"/>
                <w:sz w:val="16"/>
              </w:rPr>
              <w:t>Quórum qualificado; não é promessa unilateral</w:t>
            </w:r>
          </w:p>
        </w:tc>
      </w:tr>
      <w:tr>
        <w:tc>
          <w:tcPr>
            <w:tcW w:type="dxa" w:w="3182"/>
            <w:vAlign w:val="center"/>
          </w:tcPr>
          <w:p>
            <w:pPr>
              <w:spacing w:after="40" w:before="40"/>
            </w:pPr>
            <w:r>
              <w:rPr>
                <w:color w:val="183145"/>
                <w:sz w:val="16"/>
              </w:rPr>
              <w:t>Pacto federativo</w:t>
            </w:r>
          </w:p>
        </w:tc>
        <w:tc>
          <w:tcPr>
            <w:tcW w:type="dxa" w:w="3182"/>
            <w:vAlign w:val="center"/>
          </w:tcPr>
          <w:p>
            <w:pPr>
              <w:spacing w:after="40" w:before="40"/>
            </w:pPr>
            <w:r>
              <w:rPr>
                <w:color w:val="183145"/>
                <w:sz w:val="16"/>
              </w:rPr>
              <w:t>Creches, policiamento, atenção primária, saneamento, urbanismo</w:t>
            </w:r>
          </w:p>
        </w:tc>
        <w:tc>
          <w:tcPr>
            <w:tcW w:type="dxa" w:w="3182"/>
            <w:vAlign w:val="center"/>
          </w:tcPr>
          <w:p>
            <w:pPr>
              <w:spacing w:after="40" w:before="40"/>
            </w:pPr>
            <w:r>
              <w:rPr>
                <w:color w:val="183145"/>
                <w:sz w:val="16"/>
              </w:rPr>
              <w:t>Adesão e execução dos entes, financiamento legal</w:t>
            </w:r>
          </w:p>
        </w:tc>
      </w:tr>
      <w:tr>
        <w:tc>
          <w:tcPr>
            <w:tcW w:type="dxa" w:w="3182"/>
            <w:vAlign w:val="center"/>
          </w:tcPr>
          <w:p>
            <w:pPr>
              <w:spacing w:after="40" w:before="40"/>
            </w:pPr>
            <w:r>
              <w:rPr>
                <w:color w:val="183145"/>
                <w:sz w:val="16"/>
              </w:rPr>
              <w:t>Regulação técnica independente</w:t>
            </w:r>
          </w:p>
        </w:tc>
        <w:tc>
          <w:tcPr>
            <w:tcW w:type="dxa" w:w="3182"/>
            <w:vAlign w:val="center"/>
          </w:tcPr>
          <w:p>
            <w:pPr>
              <w:spacing w:after="40" w:before="40"/>
            </w:pPr>
            <w:r>
              <w:rPr>
                <w:color w:val="183145"/>
                <w:sz w:val="16"/>
              </w:rPr>
              <w:t>Juros, bancos, energia, proteção de dados conforme competências</w:t>
            </w:r>
          </w:p>
        </w:tc>
        <w:tc>
          <w:tcPr>
            <w:tcW w:type="dxa" w:w="3182"/>
            <w:vAlign w:val="center"/>
          </w:tcPr>
          <w:p>
            <w:pPr>
              <w:spacing w:after="40" w:before="40"/>
            </w:pPr>
            <w:r>
              <w:rPr>
                <w:color w:val="183145"/>
                <w:sz w:val="16"/>
              </w:rPr>
              <w:t>Autonomia legal e motivação técnica; sem ordens pessoais</w:t>
            </w:r>
          </w:p>
        </w:tc>
      </w:tr>
      <w:tr>
        <w:tc>
          <w:tcPr>
            <w:tcW w:type="dxa" w:w="3182"/>
            <w:vAlign w:val="center"/>
          </w:tcPr>
          <w:p>
            <w:pPr>
              <w:spacing w:after="40" w:before="40"/>
            </w:pPr>
            <w:r>
              <w:rPr>
                <w:color w:val="183145"/>
                <w:sz w:val="16"/>
              </w:rPr>
              <w:t>Acordo internacional</w:t>
            </w:r>
          </w:p>
        </w:tc>
        <w:tc>
          <w:tcPr>
            <w:tcW w:type="dxa" w:w="3182"/>
            <w:vAlign w:val="center"/>
          </w:tcPr>
          <w:p>
            <w:pPr>
              <w:spacing w:after="40" w:before="40"/>
            </w:pPr>
            <w:r>
              <w:rPr>
                <w:color w:val="183145"/>
                <w:sz w:val="16"/>
              </w:rPr>
              <w:t>Tarifas, cooperação tecnológica, tratados</w:t>
            </w:r>
          </w:p>
        </w:tc>
        <w:tc>
          <w:tcPr>
            <w:tcW w:type="dxa" w:w="3182"/>
            <w:vAlign w:val="center"/>
          </w:tcPr>
          <w:p>
            <w:pPr>
              <w:spacing w:after="40" w:before="40"/>
            </w:pPr>
            <w:r>
              <w:rPr>
                <w:color w:val="183145"/>
                <w:sz w:val="16"/>
              </w:rPr>
              <w:t>Negociação e aprovação legislativa quando exigida</w:t>
            </w:r>
          </w:p>
        </w:tc>
      </w:tr>
    </w:tbl>
    <w:p/>
    <w:p>
      <w:pPr>
        <w:pStyle w:val="Heading1"/>
      </w:pPr>
      <w:r>
        <w:t>Avaliação anual e cláusulas de revisão</w:t>
      </w:r>
    </w:p>
    <w:p>
      <w:r>
        <w:t>Cada programa que receber transferência terá linha de base, método de coleta, grupo comparável quando possível, custo por resultado, indicador distributivo, cronograma e responsável. Editais terão cláusulas de avaliação e suspensão motivada. A Controladoria-Geral, tribunais competentes, universidades e sociedade civil poderão auditar dados abertos com proteção de informações pessoais. Fracassos não serão escondidos sob alteração oportunista de métricas.</w:t>
      </w:r>
    </w:p>
    <w:p>
      <w:r>
        <w:t>Regra orçamentária transversal: obrigações continuadas só começarão após demonstração de fonte recorrente, compensação legal quando exigida e avaliação de custo por exercício. Se a receita não se materializar, o governo priorizará serviços essenciais, adiará projetos não iniciados e reenviará a programação ao Congresso; a proposta não pressupõe poder absoluto.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304" w:right="1276" w:bottom="1134" w:left="1417" w:header="482" w:footer="48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8636D"/>
        <w:sz w:val="16"/>
      </w:rPr>
      <w:t xml:space="preserve">Eleições Presidenciais das IAs • Brasil 2026   |  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1D8C84"/>
        <w:sz w:val="16"/>
      </w:rPr>
      <w:t>PHT  •  CANDIDATURA FICTÍCIA  |  VOLUME 03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color w:val="183145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D8C8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D8C8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D8C84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83145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