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ELEIÇÕES PRESIDENCIAIS DAS IAs — BRASIL 2026</w:t>
      </w:r>
    </w:p>
    <w:p>
      <w:pPr>
        <w:pStyle w:val="Title"/>
      </w:pPr>
      <w:r>
        <w:t>VOLUME 05</w:t>
      </w:r>
    </w:p>
    <w:p>
      <w:pPr>
        <w:pStyle w:val="Title"/>
      </w:pPr>
      <w:r>
        <w:t>25 promessas, quadro fiscal, governabilidade e crises</w:t>
      </w:r>
    </w:p>
    <w:p>
      <w:r>
        <w:rPr>
          <w:b/>
        </w:rPr>
        <w:t>Clara Dantas Siqueira</w:t>
      </w:r>
      <w:r>
        <w:t xml:space="preserve">  •  Partido Horizonte do Trabalho (PHT)</w:t>
      </w:r>
    </w:p>
    <w:p>
      <w:pPr>
        <w:pStyle w:val="Caption"/>
      </w:pPr>
      <w:r>
        <w:t>SIMULAÇÃO FICTÍCIA • NÃO É CANDIDATURA REAL • DATA-BASE 20/10/2026</w:t>
      </w:r>
    </w:p>
    <w:p>
      <w:r>
        <w:t>Documento do universo ficcional. Os números nacionais citados são dados públicos reais identificados por fonte e período; os acontecimentos biográficos, as decisões políticas, metas e projeções da candidatura são construções ficcionais, não fatos históricos.</w:t>
      </w:r>
    </w:p>
    <w:p>
      <w:r>
        <w:br w:type="page"/>
      </w:r>
    </w:p>
    <w:p>
      <w:pPr>
        <w:pStyle w:val="Heading1"/>
      </w:pPr>
      <w:r>
        <w:t>1. Vinte e cinco compromissos mensuráveis</w:t>
      </w:r>
    </w:p>
    <w:p>
      <w:r>
        <w:t>As probabilidades abaixo são estimativas SUBJETIVAS ficcionais de cumprimento administrativo ou aprovação, não resultados de pesquisa eleitoral, modelos científicos ou previsões oficiais. Custos de projetos são SUBCONJUNTOS dos envelopes do item 2, em R$ de 2026, e não se somam novamente ao total. Meta de resultado final só é considerada cumprida com publicação de indicador comparável.</w:t>
      </w:r>
    </w:p>
    <w:tbl>
      <w:tblPr>
        <w:tblStyle w:val="TableGrid"/>
        <w:tblW w:type="auto" w:w="0"/>
        <w:jc w:val="center"/>
        <w:tblLook w:firstColumn="1" w:firstRow="1" w:lastColumn="0" w:lastRow="0" w:noHBand="0" w:noVBand="1" w:val="04A0"/>
      </w:tblPr>
      <w:tblGrid>
        <w:gridCol w:w="1909"/>
        <w:gridCol w:w="1909"/>
        <w:gridCol w:w="1909"/>
        <w:gridCol w:w="1909"/>
        <w:gridCol w:w="1909"/>
      </w:tblGrid>
      <w:tr>
        <w:trPr>
          <w:tblHeader w:val="true"/>
          <w:cantSplit/>
        </w:trPr>
        <w:tc>
          <w:tcPr>
            <w:tcW w:type="dxa" w:w="1909"/>
            <w:shd w:fill="183145"/>
          </w:tcPr>
          <w:p>
            <w:r>
              <w:rPr>
                <w:b/>
                <w:color w:val="FFFFFF"/>
                <w:sz w:val="14"/>
              </w:rPr>
              <w:t># / PROMESSA</w:t>
            </w:r>
          </w:p>
        </w:tc>
        <w:tc>
          <w:tcPr>
            <w:tcW w:type="dxa" w:w="1909"/>
            <w:shd w:fill="183145"/>
          </w:tcPr>
          <w:p>
            <w:r>
              <w:rPr>
                <w:b/>
                <w:color w:val="FFFFFF"/>
                <w:sz w:val="14"/>
              </w:rPr>
              <w:t>PRAZO</w:t>
            </w:r>
          </w:p>
        </w:tc>
        <w:tc>
          <w:tcPr>
            <w:tcW w:type="dxa" w:w="1909"/>
            <w:shd w:fill="183145"/>
          </w:tcPr>
          <w:p>
            <w:r>
              <w:rPr>
                <w:b/>
                <w:color w:val="FFFFFF"/>
                <w:sz w:val="14"/>
              </w:rPr>
              <w:t>RESULTADO ESPERADO</w:t>
            </w:r>
          </w:p>
        </w:tc>
        <w:tc>
          <w:tcPr>
            <w:tcW w:type="dxa" w:w="1909"/>
            <w:shd w:fill="183145"/>
          </w:tcPr>
          <w:p>
            <w:r>
              <w:rPr>
                <w:b/>
                <w:color w:val="FFFFFF"/>
                <w:sz w:val="14"/>
              </w:rPr>
              <w:t>MEDIDA / CUSTO NO ENVELOPE</w:t>
            </w:r>
          </w:p>
        </w:tc>
        <w:tc>
          <w:tcPr>
            <w:tcW w:type="dxa" w:w="1909"/>
            <w:shd w:fill="183145"/>
          </w:tcPr>
          <w:p>
            <w:r>
              <w:rPr>
                <w:b/>
                <w:color w:val="FFFFFF"/>
                <w:sz w:val="14"/>
              </w:rPr>
              <w:t>INDICADOR / PROBABILIDADE</w:t>
            </w:r>
          </w:p>
        </w:tc>
      </w:tr>
      <w:tr>
        <w:trPr>
          <w:cantSplit/>
        </w:trPr>
        <w:tc>
          <w:tcPr>
            <w:tcW w:type="dxa" w:w="1909"/>
            <w:vAlign w:val="center"/>
          </w:tcPr>
          <w:p>
            <w:pPr>
              <w:spacing w:after="40" w:before="40"/>
            </w:pPr>
            <w:r>
              <w:rPr>
                <w:color w:val="183145"/>
                <w:sz w:val="14"/>
              </w:rPr>
              <w:t>01 — Painel aberto de gastos</w:t>
            </w:r>
          </w:p>
        </w:tc>
        <w:tc>
          <w:tcPr>
            <w:tcW w:type="dxa" w:w="1909"/>
            <w:vAlign w:val="center"/>
          </w:tcPr>
          <w:p>
            <w:pPr>
              <w:spacing w:after="40" w:before="40"/>
            </w:pPr>
            <w:r>
              <w:rPr>
                <w:color w:val="183145"/>
                <w:sz w:val="14"/>
              </w:rPr>
              <w:t>100 dias</w:t>
            </w:r>
          </w:p>
        </w:tc>
        <w:tc>
          <w:tcPr>
            <w:tcW w:type="dxa" w:w="1909"/>
            <w:vAlign w:val="center"/>
          </w:tcPr>
          <w:p>
            <w:pPr>
              <w:spacing w:after="40" w:before="40"/>
            </w:pPr>
            <w:r>
              <w:rPr>
                <w:color w:val="183145"/>
                <w:sz w:val="14"/>
              </w:rPr>
              <w:t>Portal com empenho, liquidação e contratos federais em amostra prioritária</w:t>
            </w:r>
          </w:p>
        </w:tc>
        <w:tc>
          <w:tcPr>
            <w:tcW w:type="dxa" w:w="1909"/>
            <w:vAlign w:val="center"/>
          </w:tcPr>
          <w:p>
            <w:pPr>
              <w:spacing w:after="40" w:before="40"/>
            </w:pPr>
            <w:r>
              <w:rPr>
                <w:color w:val="183145"/>
                <w:sz w:val="14"/>
              </w:rPr>
              <w:t>Ato da CGU/Tesouro; rotina administrativa, sem verba extra autônoma</w:t>
            </w:r>
          </w:p>
        </w:tc>
        <w:tc>
          <w:tcPr>
            <w:tcW w:type="dxa" w:w="1909"/>
            <w:vAlign w:val="center"/>
          </w:tcPr>
          <w:p>
            <w:pPr>
              <w:spacing w:after="40" w:before="40"/>
            </w:pPr>
            <w:r>
              <w:rPr>
                <w:color w:val="183145"/>
                <w:sz w:val="14"/>
              </w:rPr>
              <w:t>Portal publicado e atualizado; 90% (alto controle Executivo)</w:t>
            </w:r>
          </w:p>
        </w:tc>
      </w:tr>
      <w:tr>
        <w:trPr>
          <w:cantSplit/>
        </w:trPr>
        <w:tc>
          <w:tcPr>
            <w:tcW w:type="dxa" w:w="1909"/>
            <w:vAlign w:val="center"/>
          </w:tcPr>
          <w:p>
            <w:pPr>
              <w:spacing w:after="40" w:before="40"/>
            </w:pPr>
            <w:r>
              <w:rPr>
                <w:color w:val="183145"/>
                <w:sz w:val="14"/>
              </w:rPr>
              <w:t>02 — Auditoria de subsídios</w:t>
            </w:r>
          </w:p>
        </w:tc>
        <w:tc>
          <w:tcPr>
            <w:tcW w:type="dxa" w:w="1909"/>
            <w:vAlign w:val="center"/>
          </w:tcPr>
          <w:p>
            <w:pPr>
              <w:spacing w:after="40" w:before="40"/>
            </w:pPr>
            <w:r>
              <w:rPr>
                <w:color w:val="183145"/>
                <w:sz w:val="14"/>
              </w:rPr>
              <w:t>100 dias</w:t>
            </w:r>
          </w:p>
        </w:tc>
        <w:tc>
          <w:tcPr>
            <w:tcW w:type="dxa" w:w="1909"/>
            <w:vAlign w:val="center"/>
          </w:tcPr>
          <w:p>
            <w:pPr>
              <w:spacing w:after="40" w:before="40"/>
            </w:pPr>
            <w:r>
              <w:rPr>
                <w:color w:val="183145"/>
                <w:sz w:val="14"/>
              </w:rPr>
              <w:t>Inventário público de renúncias e beneficiários agregados por política</w:t>
            </w:r>
          </w:p>
        </w:tc>
        <w:tc>
          <w:tcPr>
            <w:tcW w:type="dxa" w:w="1909"/>
            <w:vAlign w:val="center"/>
          </w:tcPr>
          <w:p>
            <w:pPr>
              <w:spacing w:after="40" w:before="40"/>
            </w:pPr>
            <w:r>
              <w:rPr>
                <w:color w:val="183145"/>
                <w:sz w:val="14"/>
              </w:rPr>
              <w:t>Ato Fazenda/CGU; recursos existentes</w:t>
            </w:r>
          </w:p>
        </w:tc>
        <w:tc>
          <w:tcPr>
            <w:tcW w:type="dxa" w:w="1909"/>
            <w:vAlign w:val="center"/>
          </w:tcPr>
          <w:p>
            <w:pPr>
              <w:spacing w:after="40" w:before="40"/>
            </w:pPr>
            <w:r>
              <w:rPr>
                <w:color w:val="183145"/>
                <w:sz w:val="14"/>
              </w:rPr>
              <w:t>Inventário e método publicados; 90% (dependência baixa)</w:t>
            </w:r>
          </w:p>
        </w:tc>
      </w:tr>
      <w:tr>
        <w:trPr>
          <w:cantSplit/>
        </w:trPr>
        <w:tc>
          <w:tcPr>
            <w:tcW w:type="dxa" w:w="1909"/>
            <w:vAlign w:val="center"/>
          </w:tcPr>
          <w:p>
            <w:pPr>
              <w:spacing w:after="40" w:before="40"/>
            </w:pPr>
            <w:r>
              <w:rPr>
                <w:color w:val="183145"/>
                <w:sz w:val="14"/>
              </w:rPr>
              <w:t>03 — Linha base das filas do SUS</w:t>
            </w:r>
          </w:p>
        </w:tc>
        <w:tc>
          <w:tcPr>
            <w:tcW w:type="dxa" w:w="1909"/>
            <w:vAlign w:val="center"/>
          </w:tcPr>
          <w:p>
            <w:pPr>
              <w:spacing w:after="40" w:before="40"/>
            </w:pPr>
            <w:r>
              <w:rPr>
                <w:color w:val="183145"/>
                <w:sz w:val="14"/>
              </w:rPr>
              <w:t>100 dias</w:t>
            </w:r>
          </w:p>
        </w:tc>
        <w:tc>
          <w:tcPr>
            <w:tcW w:type="dxa" w:w="1909"/>
            <w:vAlign w:val="center"/>
          </w:tcPr>
          <w:p>
            <w:pPr>
              <w:spacing w:after="40" w:before="40"/>
            </w:pPr>
            <w:r>
              <w:rPr>
                <w:color w:val="183145"/>
                <w:sz w:val="14"/>
              </w:rPr>
              <w:t>Padrão único de registros pactuado com pelo menos 10 UFs voluntárias</w:t>
            </w:r>
          </w:p>
        </w:tc>
        <w:tc>
          <w:tcPr>
            <w:tcW w:type="dxa" w:w="1909"/>
            <w:vAlign w:val="center"/>
          </w:tcPr>
          <w:p>
            <w:pPr>
              <w:spacing w:after="40" w:before="40"/>
            </w:pPr>
            <w:r>
              <w:rPr>
                <w:color w:val="183145"/>
                <w:sz w:val="14"/>
              </w:rPr>
              <w:t>Portaria/convênio; custo no Saúde</w:t>
            </w:r>
          </w:p>
        </w:tc>
        <w:tc>
          <w:tcPr>
            <w:tcW w:type="dxa" w:w="1909"/>
            <w:vAlign w:val="center"/>
          </w:tcPr>
          <w:p>
            <w:pPr>
              <w:spacing w:after="40" w:before="40"/>
            </w:pPr>
            <w:r>
              <w:rPr>
                <w:color w:val="183145"/>
                <w:sz w:val="14"/>
              </w:rPr>
              <w:t>UFs aderentes e cobertura auditada; 75% (adesão federativa)</w:t>
            </w:r>
          </w:p>
        </w:tc>
      </w:tr>
      <w:tr>
        <w:trPr>
          <w:cantSplit/>
        </w:trPr>
        <w:tc>
          <w:tcPr>
            <w:tcW w:type="dxa" w:w="1909"/>
            <w:vAlign w:val="center"/>
          </w:tcPr>
          <w:p>
            <w:pPr>
              <w:spacing w:after="40" w:before="40"/>
            </w:pPr>
            <w:r>
              <w:rPr>
                <w:color w:val="183145"/>
                <w:sz w:val="14"/>
              </w:rPr>
              <w:t>04 — Mapa de alfabetização</w:t>
            </w:r>
          </w:p>
        </w:tc>
        <w:tc>
          <w:tcPr>
            <w:tcW w:type="dxa" w:w="1909"/>
            <w:vAlign w:val="center"/>
          </w:tcPr>
          <w:p>
            <w:pPr>
              <w:spacing w:after="40" w:before="40"/>
            </w:pPr>
            <w:r>
              <w:rPr>
                <w:color w:val="183145"/>
                <w:sz w:val="14"/>
              </w:rPr>
              <w:t>100 dias</w:t>
            </w:r>
          </w:p>
        </w:tc>
        <w:tc>
          <w:tcPr>
            <w:tcW w:type="dxa" w:w="1909"/>
            <w:vAlign w:val="center"/>
          </w:tcPr>
          <w:p>
            <w:pPr>
              <w:spacing w:after="40" w:before="40"/>
            </w:pPr>
            <w:r>
              <w:rPr>
                <w:color w:val="183145"/>
                <w:sz w:val="14"/>
              </w:rPr>
              <w:t>Painel de avaliação 2025–2026 e lacunas por município</w:t>
            </w:r>
          </w:p>
        </w:tc>
        <w:tc>
          <w:tcPr>
            <w:tcW w:type="dxa" w:w="1909"/>
            <w:vAlign w:val="center"/>
          </w:tcPr>
          <w:p>
            <w:pPr>
              <w:spacing w:after="40" w:before="40"/>
            </w:pPr>
            <w:r>
              <w:rPr>
                <w:color w:val="183145"/>
                <w:sz w:val="14"/>
              </w:rPr>
              <w:t>Ato e cooperação INEP; no Educação</w:t>
            </w:r>
          </w:p>
        </w:tc>
        <w:tc>
          <w:tcPr>
            <w:tcW w:type="dxa" w:w="1909"/>
            <w:vAlign w:val="center"/>
          </w:tcPr>
          <w:p>
            <w:pPr>
              <w:spacing w:after="40" w:before="40"/>
            </w:pPr>
            <w:r>
              <w:rPr>
                <w:color w:val="183145"/>
                <w:sz w:val="14"/>
              </w:rPr>
              <w:t>Painel público, metodologias; 85% (dados existentes)</w:t>
            </w:r>
          </w:p>
        </w:tc>
      </w:tr>
      <w:tr>
        <w:trPr>
          <w:cantSplit/>
        </w:trPr>
        <w:tc>
          <w:tcPr>
            <w:tcW w:type="dxa" w:w="1909"/>
            <w:vAlign w:val="center"/>
          </w:tcPr>
          <w:p>
            <w:pPr>
              <w:spacing w:after="40" w:before="40"/>
            </w:pPr>
            <w:r>
              <w:rPr>
                <w:color w:val="183145"/>
                <w:sz w:val="14"/>
              </w:rPr>
              <w:t>05 — Mesa SUSP</w:t>
            </w:r>
          </w:p>
        </w:tc>
        <w:tc>
          <w:tcPr>
            <w:tcW w:type="dxa" w:w="1909"/>
            <w:vAlign w:val="center"/>
          </w:tcPr>
          <w:p>
            <w:pPr>
              <w:spacing w:after="40" w:before="40"/>
            </w:pPr>
            <w:r>
              <w:rPr>
                <w:color w:val="183145"/>
                <w:sz w:val="14"/>
              </w:rPr>
              <w:t>100 dias</w:t>
            </w:r>
          </w:p>
        </w:tc>
        <w:tc>
          <w:tcPr>
            <w:tcW w:type="dxa" w:w="1909"/>
            <w:vAlign w:val="center"/>
          </w:tcPr>
          <w:p>
            <w:pPr>
              <w:spacing w:after="40" w:before="40"/>
            </w:pPr>
            <w:r>
              <w:rPr>
                <w:color w:val="183145"/>
                <w:sz w:val="14"/>
              </w:rPr>
              <w:t>Pactos com governadores para reduzir violência letal</w:t>
            </w:r>
          </w:p>
        </w:tc>
        <w:tc>
          <w:tcPr>
            <w:tcW w:type="dxa" w:w="1909"/>
            <w:vAlign w:val="center"/>
          </w:tcPr>
          <w:p>
            <w:pPr>
              <w:spacing w:after="40" w:before="40"/>
            </w:pPr>
            <w:r>
              <w:rPr>
                <w:color w:val="183145"/>
                <w:sz w:val="14"/>
              </w:rPr>
              <w:t>Convênios SUSP; no Segurança</w:t>
            </w:r>
          </w:p>
        </w:tc>
        <w:tc>
          <w:tcPr>
            <w:tcW w:type="dxa" w:w="1909"/>
            <w:vAlign w:val="center"/>
          </w:tcPr>
          <w:p>
            <w:pPr>
              <w:spacing w:after="40" w:before="40"/>
            </w:pPr>
            <w:r>
              <w:rPr>
                <w:color w:val="183145"/>
                <w:sz w:val="14"/>
              </w:rPr>
              <w:t>Pactos assinados com metas; 80% (adesão)</w:t>
            </w:r>
          </w:p>
        </w:tc>
      </w:tr>
      <w:tr>
        <w:trPr>
          <w:cantSplit/>
        </w:trPr>
        <w:tc>
          <w:tcPr>
            <w:tcW w:type="dxa" w:w="1909"/>
            <w:vAlign w:val="center"/>
          </w:tcPr>
          <w:p>
            <w:pPr>
              <w:spacing w:after="40" w:before="40"/>
            </w:pPr>
            <w:r>
              <w:rPr>
                <w:color w:val="183145"/>
                <w:sz w:val="14"/>
              </w:rPr>
              <w:t>06 — Proposta fiscal do quadriênio</w:t>
            </w:r>
          </w:p>
        </w:tc>
        <w:tc>
          <w:tcPr>
            <w:tcW w:type="dxa" w:w="1909"/>
            <w:vAlign w:val="center"/>
          </w:tcPr>
          <w:p>
            <w:pPr>
              <w:spacing w:after="40" w:before="40"/>
            </w:pPr>
            <w:r>
              <w:rPr>
                <w:color w:val="183145"/>
                <w:sz w:val="14"/>
              </w:rPr>
              <w:t>100 dias</w:t>
            </w:r>
          </w:p>
        </w:tc>
        <w:tc>
          <w:tcPr>
            <w:tcW w:type="dxa" w:w="1909"/>
            <w:vAlign w:val="center"/>
          </w:tcPr>
          <w:p>
            <w:pPr>
              <w:spacing w:after="40" w:before="40"/>
            </w:pPr>
            <w:r>
              <w:rPr>
                <w:color w:val="183145"/>
                <w:sz w:val="14"/>
              </w:rPr>
              <w:t>Anteprojetos de revisão fiscal e 4 anos de estimativas sob análise</w:t>
            </w:r>
          </w:p>
        </w:tc>
        <w:tc>
          <w:tcPr>
            <w:tcW w:type="dxa" w:w="1909"/>
            <w:vAlign w:val="center"/>
          </w:tcPr>
          <w:p>
            <w:pPr>
              <w:spacing w:after="40" w:before="40"/>
            </w:pPr>
            <w:r>
              <w:rPr>
                <w:color w:val="183145"/>
                <w:sz w:val="14"/>
              </w:rPr>
              <w:t>Encaminhamento Executivo/Congresso; sem custo extra</w:t>
            </w:r>
          </w:p>
        </w:tc>
        <w:tc>
          <w:tcPr>
            <w:tcW w:type="dxa" w:w="1909"/>
            <w:vAlign w:val="center"/>
          </w:tcPr>
          <w:p>
            <w:pPr>
              <w:spacing w:after="40" w:before="40"/>
            </w:pPr>
            <w:r>
              <w:rPr>
                <w:color w:val="183145"/>
                <w:sz w:val="14"/>
              </w:rPr>
              <w:t>Textos e memória de cálculo públicos; 90% (propor é possível)</w:t>
            </w:r>
          </w:p>
        </w:tc>
      </w:tr>
      <w:tr>
        <w:trPr>
          <w:cantSplit/>
        </w:trPr>
        <w:tc>
          <w:tcPr>
            <w:tcW w:type="dxa" w:w="1909"/>
            <w:vAlign w:val="center"/>
          </w:tcPr>
          <w:p>
            <w:pPr>
              <w:spacing w:after="40" w:before="40"/>
            </w:pPr>
            <w:r>
              <w:rPr>
                <w:color w:val="183145"/>
                <w:sz w:val="14"/>
              </w:rPr>
              <w:t>07 — Primeiras creches cofinanciadas</w:t>
            </w:r>
          </w:p>
        </w:tc>
        <w:tc>
          <w:tcPr>
            <w:tcW w:type="dxa" w:w="1909"/>
            <w:vAlign w:val="center"/>
          </w:tcPr>
          <w:p>
            <w:pPr>
              <w:spacing w:after="40" w:before="40"/>
            </w:pPr>
            <w:r>
              <w:rPr>
                <w:color w:val="183145"/>
                <w:sz w:val="14"/>
              </w:rPr>
              <w:t>2027</w:t>
            </w:r>
          </w:p>
        </w:tc>
        <w:tc>
          <w:tcPr>
            <w:tcW w:type="dxa" w:w="1909"/>
            <w:vAlign w:val="center"/>
          </w:tcPr>
          <w:p>
            <w:r>
              <w:rPr>
                <w:sz w:val="14"/>
              </w:rPr>
              <w:t>Contratar apoio a 500 unidades de educação infantil elegíveis para ampliar vagas, com diagnóstico técnico e capacidade local</w:t>
            </w:r>
          </w:p>
        </w:tc>
        <w:tc>
          <w:tcPr>
            <w:tcW w:type="dxa" w:w="1909"/>
            <w:vAlign w:val="center"/>
          </w:tcPr>
          <w:p>
            <w:pPr>
              <w:spacing w:after="40" w:before="40"/>
            </w:pPr>
            <w:r>
              <w:rPr>
                <w:color w:val="183145"/>
                <w:sz w:val="14"/>
              </w:rPr>
              <w:t>Editais federativos; no Educação R$ 3 bi em 2027</w:t>
            </w:r>
          </w:p>
        </w:tc>
        <w:tc>
          <w:tcPr>
            <w:tcW w:type="dxa" w:w="1909"/>
            <w:vAlign w:val="center"/>
          </w:tcPr>
          <w:p>
            <w:pPr>
              <w:spacing w:after="40" w:before="40"/>
            </w:pPr>
            <w:r>
              <w:rPr>
                <w:color w:val="183145"/>
                <w:sz w:val="14"/>
              </w:rPr>
              <w:t>Obras/serviços contratados e mapa; 65% (projetos maduros)</w:t>
            </w:r>
          </w:p>
        </w:tc>
      </w:tr>
      <w:tr>
        <w:trPr>
          <w:cantSplit/>
        </w:trPr>
        <w:tc>
          <w:tcPr>
            <w:tcW w:type="dxa" w:w="1909"/>
            <w:vAlign w:val="center"/>
          </w:tcPr>
          <w:p>
            <w:pPr>
              <w:spacing w:after="40" w:before="40"/>
            </w:pPr>
            <w:r>
              <w:rPr>
                <w:color w:val="183145"/>
                <w:sz w:val="14"/>
              </w:rPr>
              <w:t>08 — Telessaúde integrada</w:t>
            </w:r>
          </w:p>
        </w:tc>
        <w:tc>
          <w:tcPr>
            <w:tcW w:type="dxa" w:w="1909"/>
            <w:vAlign w:val="center"/>
          </w:tcPr>
          <w:p>
            <w:pPr>
              <w:spacing w:after="40" w:before="40"/>
            </w:pPr>
            <w:r>
              <w:rPr>
                <w:color w:val="183145"/>
                <w:sz w:val="14"/>
              </w:rPr>
              <w:t>2027</w:t>
            </w:r>
          </w:p>
        </w:tc>
        <w:tc>
          <w:tcPr>
            <w:tcW w:type="dxa" w:w="1909"/>
            <w:vAlign w:val="center"/>
          </w:tcPr>
          <w:p>
            <w:pPr>
              <w:spacing w:after="40" w:before="40"/>
            </w:pPr>
            <w:r>
              <w:rPr>
                <w:color w:val="183145"/>
                <w:sz w:val="14"/>
              </w:rPr>
              <w:t>Adesão de 500 UBS em regiões prioritárias</w:t>
            </w:r>
          </w:p>
        </w:tc>
        <w:tc>
          <w:tcPr>
            <w:tcW w:type="dxa" w:w="1909"/>
            <w:vAlign w:val="center"/>
          </w:tcPr>
          <w:p>
            <w:pPr>
              <w:spacing w:after="40" w:before="40"/>
            </w:pPr>
            <w:r>
              <w:rPr>
                <w:color w:val="183145"/>
                <w:sz w:val="14"/>
              </w:rPr>
              <w:t>Portarias e convênios; no Saúde R$ 4 bi em 2027</w:t>
            </w:r>
          </w:p>
        </w:tc>
        <w:tc>
          <w:tcPr>
            <w:tcW w:type="dxa" w:w="1909"/>
            <w:vAlign w:val="center"/>
          </w:tcPr>
          <w:p>
            <w:pPr>
              <w:spacing w:after="40" w:before="40"/>
            </w:pPr>
            <w:r>
              <w:rPr>
                <w:color w:val="183145"/>
                <w:sz w:val="14"/>
              </w:rPr>
              <w:t>UBS conectadas e consultas auditadas; 75% (tecnologia e equipes)</w:t>
            </w:r>
          </w:p>
        </w:tc>
      </w:tr>
      <w:tr>
        <w:trPr>
          <w:cantSplit/>
        </w:trPr>
        <w:tc>
          <w:tcPr>
            <w:tcW w:type="dxa" w:w="1909"/>
            <w:vAlign w:val="center"/>
          </w:tcPr>
          <w:p>
            <w:pPr>
              <w:spacing w:after="40" w:before="40"/>
            </w:pPr>
            <w:r>
              <w:rPr>
                <w:color w:val="183145"/>
                <w:sz w:val="14"/>
              </w:rPr>
              <w:t>09 — Pipeline saneamento</w:t>
            </w:r>
          </w:p>
        </w:tc>
        <w:tc>
          <w:tcPr>
            <w:tcW w:type="dxa" w:w="1909"/>
            <w:vAlign w:val="center"/>
          </w:tcPr>
          <w:p>
            <w:pPr>
              <w:spacing w:after="40" w:before="40"/>
            </w:pPr>
            <w:r>
              <w:rPr>
                <w:color w:val="183145"/>
                <w:sz w:val="14"/>
              </w:rPr>
              <w:t>2027</w:t>
            </w:r>
          </w:p>
        </w:tc>
        <w:tc>
          <w:tcPr>
            <w:tcW w:type="dxa" w:w="1909"/>
            <w:vAlign w:val="center"/>
          </w:tcPr>
          <w:p>
            <w:pPr>
              <w:spacing w:after="40" w:before="40"/>
            </w:pPr>
            <w:r>
              <w:rPr>
                <w:color w:val="183145"/>
                <w:sz w:val="14"/>
              </w:rPr>
              <w:t>Publicar 200 projetos qualificados e respectivos custos/operação</w:t>
            </w:r>
          </w:p>
        </w:tc>
        <w:tc>
          <w:tcPr>
            <w:tcW w:type="dxa" w:w="1909"/>
            <w:vAlign w:val="center"/>
          </w:tcPr>
          <w:p>
            <w:pPr>
              <w:spacing w:after="40" w:before="40"/>
            </w:pPr>
            <w:r>
              <w:rPr>
                <w:color w:val="183145"/>
                <w:sz w:val="14"/>
              </w:rPr>
              <w:t>SINISA e convênios; no Saneamento R$ 2 bi em 2027</w:t>
            </w:r>
          </w:p>
        </w:tc>
        <w:tc>
          <w:tcPr>
            <w:tcW w:type="dxa" w:w="1909"/>
            <w:vAlign w:val="center"/>
          </w:tcPr>
          <w:p>
            <w:pPr>
              <w:spacing w:after="40" w:before="40"/>
            </w:pPr>
            <w:r>
              <w:rPr>
                <w:color w:val="183145"/>
                <w:sz w:val="14"/>
              </w:rPr>
              <w:t>Projetos com engenharia/licença; 70% (capacidade municipal)</w:t>
            </w:r>
          </w:p>
        </w:tc>
      </w:tr>
      <w:tr>
        <w:trPr>
          <w:cantSplit/>
        </w:trPr>
        <w:tc>
          <w:tcPr>
            <w:tcW w:type="dxa" w:w="1909"/>
            <w:vAlign w:val="center"/>
          </w:tcPr>
          <w:p>
            <w:pPr>
              <w:spacing w:after="40" w:before="40"/>
            </w:pPr>
            <w:r>
              <w:rPr>
                <w:color w:val="183145"/>
                <w:sz w:val="14"/>
              </w:rPr>
              <w:t>10 — Carteira logística</w:t>
            </w:r>
          </w:p>
        </w:tc>
        <w:tc>
          <w:tcPr>
            <w:tcW w:type="dxa" w:w="1909"/>
            <w:vAlign w:val="center"/>
          </w:tcPr>
          <w:p>
            <w:pPr>
              <w:spacing w:after="40" w:before="40"/>
            </w:pPr>
            <w:r>
              <w:rPr>
                <w:color w:val="183145"/>
                <w:sz w:val="14"/>
              </w:rPr>
              <w:t>2027</w:t>
            </w:r>
          </w:p>
        </w:tc>
        <w:tc>
          <w:tcPr>
            <w:tcW w:type="dxa" w:w="1909"/>
            <w:vAlign w:val="center"/>
          </w:tcPr>
          <w:p>
            <w:pPr>
              <w:spacing w:after="40" w:before="40"/>
            </w:pPr>
            <w:r>
              <w:rPr>
                <w:color w:val="183145"/>
                <w:sz w:val="14"/>
              </w:rPr>
              <w:t>Publicar 30 projetos com estudo e ranking de custo-benefício</w:t>
            </w:r>
          </w:p>
        </w:tc>
        <w:tc>
          <w:tcPr>
            <w:tcW w:type="dxa" w:w="1909"/>
            <w:vAlign w:val="center"/>
          </w:tcPr>
          <w:p>
            <w:pPr>
              <w:spacing w:after="40" w:before="40"/>
            </w:pPr>
            <w:r>
              <w:rPr>
                <w:color w:val="183145"/>
                <w:sz w:val="14"/>
              </w:rPr>
              <w:t>Ato planejamento; no Infra R$ 2 bi em 2027</w:t>
            </w:r>
          </w:p>
        </w:tc>
        <w:tc>
          <w:tcPr>
            <w:tcW w:type="dxa" w:w="1909"/>
            <w:vAlign w:val="center"/>
          </w:tcPr>
          <w:p>
            <w:pPr>
              <w:spacing w:after="40" w:before="40"/>
            </w:pPr>
            <w:r>
              <w:rPr>
                <w:color w:val="183145"/>
                <w:sz w:val="14"/>
              </w:rPr>
              <w:t>Documentos e pareceres públicos; 85% (poder de publicar)</w:t>
            </w:r>
          </w:p>
        </w:tc>
      </w:tr>
      <w:tr>
        <w:trPr>
          <w:cantSplit/>
        </w:trPr>
        <w:tc>
          <w:tcPr>
            <w:tcW w:type="dxa" w:w="1909"/>
            <w:vAlign w:val="center"/>
          </w:tcPr>
          <w:p>
            <w:pPr>
              <w:spacing w:after="40" w:before="40"/>
            </w:pPr>
            <w:r>
              <w:rPr>
                <w:color w:val="183145"/>
                <w:sz w:val="14"/>
              </w:rPr>
              <w:t>11 — Cláusulas anticorrupção</w:t>
            </w:r>
          </w:p>
        </w:tc>
        <w:tc>
          <w:tcPr>
            <w:tcW w:type="dxa" w:w="1909"/>
            <w:vAlign w:val="center"/>
          </w:tcPr>
          <w:p>
            <w:pPr>
              <w:spacing w:after="40" w:before="40"/>
            </w:pPr>
            <w:r>
              <w:rPr>
                <w:color w:val="183145"/>
                <w:sz w:val="14"/>
              </w:rPr>
              <w:t>2027</w:t>
            </w:r>
          </w:p>
        </w:tc>
        <w:tc>
          <w:tcPr>
            <w:tcW w:type="dxa" w:w="1909"/>
            <w:vAlign w:val="center"/>
          </w:tcPr>
          <w:p>
            <w:pPr>
              <w:spacing w:after="40" w:before="40"/>
            </w:pPr>
            <w:r>
              <w:rPr>
                <w:color w:val="183145"/>
                <w:sz w:val="14"/>
              </w:rPr>
              <w:t>Auditar as 100 maiores compras federais de TIC relevantes</w:t>
            </w:r>
          </w:p>
        </w:tc>
        <w:tc>
          <w:tcPr>
            <w:tcW w:type="dxa" w:w="1909"/>
            <w:vAlign w:val="center"/>
          </w:tcPr>
          <w:p>
            <w:pPr>
              <w:spacing w:after="40" w:before="40"/>
            </w:pPr>
            <w:r>
              <w:rPr>
                <w:color w:val="183145"/>
                <w:sz w:val="14"/>
              </w:rPr>
              <w:t>CGU/TCU no que couber; Administração</w:t>
            </w:r>
          </w:p>
        </w:tc>
        <w:tc>
          <w:tcPr>
            <w:tcW w:type="dxa" w:w="1909"/>
            <w:vAlign w:val="center"/>
          </w:tcPr>
          <w:p>
            <w:pPr>
              <w:spacing w:after="40" w:before="40"/>
            </w:pPr>
            <w:r>
              <w:rPr>
                <w:color w:val="183145"/>
                <w:sz w:val="14"/>
              </w:rPr>
              <w:t>Relatórios com resposta e prazo; 75% (auditoria demandante)</w:t>
            </w:r>
          </w:p>
        </w:tc>
      </w:tr>
      <w:tr>
        <w:trPr>
          <w:cantSplit/>
        </w:trPr>
        <w:tc>
          <w:tcPr>
            <w:tcW w:type="dxa" w:w="1909"/>
            <w:vAlign w:val="center"/>
          </w:tcPr>
          <w:p>
            <w:pPr>
              <w:spacing w:after="40" w:before="40"/>
            </w:pPr>
            <w:r>
              <w:rPr>
                <w:color w:val="183145"/>
                <w:sz w:val="14"/>
              </w:rPr>
              <w:t>12 — Primeiros editais de IA aplicada</w:t>
            </w:r>
          </w:p>
        </w:tc>
        <w:tc>
          <w:tcPr>
            <w:tcW w:type="dxa" w:w="1909"/>
            <w:vAlign w:val="center"/>
          </w:tcPr>
          <w:p>
            <w:pPr>
              <w:spacing w:after="40" w:before="40"/>
            </w:pPr>
            <w:r>
              <w:rPr>
                <w:color w:val="183145"/>
                <w:sz w:val="14"/>
              </w:rPr>
              <w:t>2027</w:t>
            </w:r>
          </w:p>
        </w:tc>
        <w:tc>
          <w:tcPr>
            <w:tcW w:type="dxa" w:w="1909"/>
            <w:vAlign w:val="center"/>
          </w:tcPr>
          <w:p>
            <w:pPr>
              <w:spacing w:after="40" w:before="40"/>
            </w:pPr>
            <w:r>
              <w:rPr>
                <w:color w:val="183145"/>
                <w:sz w:val="14"/>
              </w:rPr>
              <w:t>Lançar 15 editais com metas de transferência tecnológica</w:t>
            </w:r>
          </w:p>
        </w:tc>
        <w:tc>
          <w:tcPr>
            <w:tcW w:type="dxa" w:w="1909"/>
            <w:vAlign w:val="center"/>
          </w:tcPr>
          <w:p>
            <w:pPr>
              <w:spacing w:after="40" w:before="40"/>
            </w:pPr>
            <w:r>
              <w:rPr>
                <w:color w:val="183145"/>
                <w:sz w:val="14"/>
              </w:rPr>
              <w:t>Finep/MCTI; Ciência R$ 2 bi em 2027</w:t>
            </w:r>
          </w:p>
        </w:tc>
        <w:tc>
          <w:tcPr>
            <w:tcW w:type="dxa" w:w="1909"/>
            <w:vAlign w:val="center"/>
          </w:tcPr>
          <w:p>
            <w:pPr>
              <w:spacing w:after="40" w:before="40"/>
            </w:pPr>
            <w:r>
              <w:rPr>
                <w:color w:val="183145"/>
                <w:sz w:val="14"/>
              </w:rPr>
              <w:t>Editais, projetos e avaliação ex ante; 80% (orçamento)</w:t>
            </w:r>
          </w:p>
        </w:tc>
      </w:tr>
      <w:tr>
        <w:trPr>
          <w:cantSplit/>
        </w:trPr>
        <w:tc>
          <w:tcPr>
            <w:tcW w:type="dxa" w:w="1909"/>
            <w:vAlign w:val="center"/>
          </w:tcPr>
          <w:p>
            <w:pPr>
              <w:spacing w:after="40" w:before="40"/>
            </w:pPr>
            <w:r>
              <w:rPr>
                <w:color w:val="183145"/>
                <w:sz w:val="14"/>
              </w:rPr>
              <w:t>13 — Reforma tributária progressiva</w:t>
            </w:r>
          </w:p>
        </w:tc>
        <w:tc>
          <w:tcPr>
            <w:tcW w:type="dxa" w:w="1909"/>
            <w:vAlign w:val="center"/>
          </w:tcPr>
          <w:p>
            <w:pPr>
              <w:spacing w:after="40" w:before="40"/>
            </w:pPr>
            <w:r>
              <w:rPr>
                <w:color w:val="183145"/>
                <w:sz w:val="14"/>
              </w:rPr>
              <w:t>2027</w:t>
            </w:r>
          </w:p>
        </w:tc>
        <w:tc>
          <w:tcPr>
            <w:tcW w:type="dxa" w:w="1909"/>
            <w:vAlign w:val="center"/>
          </w:tcPr>
          <w:p>
            <w:pPr>
              <w:spacing w:after="40" w:before="40"/>
            </w:pPr>
            <w:r>
              <w:rPr>
                <w:color w:val="183145"/>
                <w:sz w:val="14"/>
              </w:rPr>
              <w:t>Enviar projeto compensado de renda alta/gastos tributários</w:t>
            </w:r>
          </w:p>
        </w:tc>
        <w:tc>
          <w:tcPr>
            <w:tcW w:type="dxa" w:w="1909"/>
            <w:vAlign w:val="center"/>
          </w:tcPr>
          <w:p>
            <w:pPr>
              <w:spacing w:after="40" w:before="40"/>
            </w:pPr>
            <w:r>
              <w:rPr>
                <w:color w:val="183145"/>
                <w:sz w:val="14"/>
              </w:rPr>
              <w:t>Projeto de lei, Fazenda; sem gasto direto</w:t>
            </w:r>
          </w:p>
        </w:tc>
        <w:tc>
          <w:tcPr>
            <w:tcW w:type="dxa" w:w="1909"/>
            <w:vAlign w:val="center"/>
          </w:tcPr>
          <w:p>
            <w:pPr>
              <w:spacing w:after="40" w:before="40"/>
            </w:pPr>
            <w:r>
              <w:rPr>
                <w:color w:val="183145"/>
                <w:sz w:val="14"/>
              </w:rPr>
              <w:t>Projeto protocolado com impacto; 85% (envio não é aprovação)</w:t>
            </w:r>
          </w:p>
        </w:tc>
      </w:tr>
      <w:tr>
        <w:trPr>
          <w:cantSplit/>
        </w:trPr>
        <w:tc>
          <w:tcPr>
            <w:tcW w:type="dxa" w:w="1909"/>
            <w:vAlign w:val="center"/>
          </w:tcPr>
          <w:p>
            <w:pPr>
              <w:spacing w:after="40" w:before="40"/>
            </w:pPr>
            <w:r>
              <w:rPr>
                <w:color w:val="183145"/>
                <w:sz w:val="14"/>
              </w:rPr>
              <w:t>14 — Formação para automação</w:t>
            </w:r>
          </w:p>
        </w:tc>
        <w:tc>
          <w:tcPr>
            <w:tcW w:type="dxa" w:w="1909"/>
            <w:vAlign w:val="center"/>
          </w:tcPr>
          <w:p>
            <w:pPr>
              <w:spacing w:after="40" w:before="40"/>
            </w:pPr>
            <w:r>
              <w:rPr>
                <w:color w:val="183145"/>
                <w:sz w:val="14"/>
              </w:rPr>
              <w:t>2028–2029</w:t>
            </w:r>
          </w:p>
        </w:tc>
        <w:tc>
          <w:tcPr>
            <w:tcW w:type="dxa" w:w="1909"/>
            <w:vAlign w:val="center"/>
          </w:tcPr>
          <w:p>
            <w:pPr>
              <w:spacing w:after="40" w:before="40"/>
            </w:pPr>
            <w:r>
              <w:rPr>
                <w:color w:val="183145"/>
                <w:sz w:val="14"/>
              </w:rPr>
              <w:t>Certificar 200 mil participantes e medir inserção laboral</w:t>
            </w:r>
          </w:p>
        </w:tc>
        <w:tc>
          <w:tcPr>
            <w:tcW w:type="dxa" w:w="1909"/>
            <w:vAlign w:val="center"/>
          </w:tcPr>
          <w:p>
            <w:pPr>
              <w:spacing w:after="40" w:before="40"/>
            </w:pPr>
            <w:r>
              <w:rPr>
                <w:color w:val="183145"/>
                <w:sz w:val="14"/>
              </w:rPr>
              <w:t>Rede de ensino/SENAI, convênios; Trabalho R$ 2 bi em 2028–29</w:t>
            </w:r>
          </w:p>
        </w:tc>
        <w:tc>
          <w:tcPr>
            <w:tcW w:type="dxa" w:w="1909"/>
            <w:vAlign w:val="center"/>
          </w:tcPr>
          <w:p>
            <w:pPr>
              <w:spacing w:after="40" w:before="40"/>
            </w:pPr>
            <w:r>
              <w:rPr>
                <w:color w:val="183145"/>
                <w:sz w:val="14"/>
              </w:rPr>
              <w:t>Diplomas válidos + coorte empregada; 60% (escala)</w:t>
            </w:r>
          </w:p>
        </w:tc>
      </w:tr>
      <w:tr>
        <w:trPr>
          <w:cantSplit/>
        </w:trPr>
        <w:tc>
          <w:tcPr>
            <w:tcW w:type="dxa" w:w="1909"/>
            <w:vAlign w:val="center"/>
          </w:tcPr>
          <w:p>
            <w:pPr>
              <w:spacing w:after="40" w:before="40"/>
            </w:pPr>
            <w:r>
              <w:rPr>
                <w:color w:val="183145"/>
                <w:sz w:val="14"/>
              </w:rPr>
              <w:t>15 — Obras hídricas pactuadas</w:t>
            </w:r>
          </w:p>
        </w:tc>
        <w:tc>
          <w:tcPr>
            <w:tcW w:type="dxa" w:w="1909"/>
            <w:vAlign w:val="center"/>
          </w:tcPr>
          <w:p>
            <w:pPr>
              <w:spacing w:after="40" w:before="40"/>
            </w:pPr>
            <w:r>
              <w:rPr>
                <w:color w:val="183145"/>
                <w:sz w:val="14"/>
              </w:rPr>
              <w:t>2028–2029</w:t>
            </w:r>
          </w:p>
        </w:tc>
        <w:tc>
          <w:tcPr>
            <w:tcW w:type="dxa" w:w="1909"/>
            <w:vAlign w:val="center"/>
          </w:tcPr>
          <w:p>
            <w:pPr>
              <w:spacing w:after="40" w:before="40"/>
            </w:pPr>
            <w:r>
              <w:rPr>
                <w:color w:val="183145"/>
                <w:sz w:val="14"/>
              </w:rPr>
              <w:t>Concluir 60 obras pequenas/médias de água e esgoto cofinanciadas</w:t>
            </w:r>
          </w:p>
        </w:tc>
        <w:tc>
          <w:tcPr>
            <w:tcW w:type="dxa" w:w="1909"/>
            <w:vAlign w:val="center"/>
          </w:tcPr>
          <w:p>
            <w:pPr>
              <w:spacing w:after="40" w:before="40"/>
            </w:pPr>
            <w:r>
              <w:rPr>
                <w:color w:val="183145"/>
                <w:sz w:val="14"/>
              </w:rPr>
              <w:t>Contratos municipais; Saneamento R$ 10 bi em 2028–29</w:t>
            </w:r>
          </w:p>
        </w:tc>
        <w:tc>
          <w:tcPr>
            <w:tcW w:type="dxa" w:w="1909"/>
            <w:vAlign w:val="center"/>
          </w:tcPr>
          <w:p>
            <w:pPr>
              <w:spacing w:after="40" w:before="40"/>
            </w:pPr>
            <w:r>
              <w:rPr>
                <w:color w:val="183145"/>
                <w:sz w:val="14"/>
              </w:rPr>
              <w:t>Obras operacionais, não apenas inauguradas; 55% (licenças)</w:t>
            </w:r>
          </w:p>
        </w:tc>
      </w:tr>
      <w:tr>
        <w:trPr>
          <w:cantSplit/>
        </w:trPr>
        <w:tc>
          <w:tcPr>
            <w:tcW w:type="dxa" w:w="1909"/>
            <w:vAlign w:val="center"/>
          </w:tcPr>
          <w:p>
            <w:pPr>
              <w:spacing w:after="40" w:before="40"/>
            </w:pPr>
            <w:r>
              <w:rPr>
                <w:color w:val="183145"/>
                <w:sz w:val="14"/>
              </w:rPr>
              <w:t>16 — Residência docente</w:t>
            </w:r>
          </w:p>
        </w:tc>
        <w:tc>
          <w:tcPr>
            <w:tcW w:type="dxa" w:w="1909"/>
            <w:vAlign w:val="center"/>
          </w:tcPr>
          <w:p>
            <w:pPr>
              <w:spacing w:after="40" w:before="40"/>
            </w:pPr>
            <w:r>
              <w:rPr>
                <w:color w:val="183145"/>
                <w:sz w:val="14"/>
              </w:rPr>
              <w:t>2028–2029</w:t>
            </w:r>
          </w:p>
        </w:tc>
        <w:tc>
          <w:tcPr>
            <w:tcW w:type="dxa" w:w="1909"/>
            <w:vAlign w:val="center"/>
          </w:tcPr>
          <w:p>
            <w:pPr>
              <w:spacing w:after="40" w:before="40"/>
            </w:pPr>
            <w:r>
              <w:rPr>
                <w:color w:val="183145"/>
                <w:sz w:val="14"/>
              </w:rPr>
              <w:t>Formar 40 mil residentes, priorizando matemática e alfabetização</w:t>
            </w:r>
          </w:p>
        </w:tc>
        <w:tc>
          <w:tcPr>
            <w:tcW w:type="dxa" w:w="1909"/>
            <w:vAlign w:val="center"/>
          </w:tcPr>
          <w:p>
            <w:pPr>
              <w:spacing w:after="40" w:before="40"/>
            </w:pPr>
            <w:r>
              <w:rPr>
                <w:color w:val="183145"/>
                <w:sz w:val="14"/>
              </w:rPr>
              <w:t>Cooperação entes/universidades; Educação R$ 16 bi em 2028–29</w:t>
            </w:r>
          </w:p>
        </w:tc>
        <w:tc>
          <w:tcPr>
            <w:tcW w:type="dxa" w:w="1909"/>
            <w:vAlign w:val="center"/>
          </w:tcPr>
          <w:p>
            <w:pPr>
              <w:spacing w:after="40" w:before="40"/>
            </w:pPr>
            <w:r>
              <w:rPr>
                <w:color w:val="183145"/>
                <w:sz w:val="14"/>
              </w:rPr>
              <w:t>Residências concluídas e retenção; 60% (adesão)</w:t>
            </w:r>
          </w:p>
        </w:tc>
      </w:tr>
      <w:tr>
        <w:trPr>
          <w:cantSplit/>
        </w:trPr>
        <w:tc>
          <w:tcPr>
            <w:tcW w:type="dxa" w:w="1909"/>
            <w:vAlign w:val="center"/>
          </w:tcPr>
          <w:p>
            <w:pPr>
              <w:spacing w:after="40" w:before="40"/>
            </w:pPr>
            <w:r>
              <w:rPr>
                <w:color w:val="183145"/>
                <w:sz w:val="14"/>
              </w:rPr>
              <w:t>17 — Inteligência financeira antifacções</w:t>
            </w:r>
          </w:p>
        </w:tc>
        <w:tc>
          <w:tcPr>
            <w:tcW w:type="dxa" w:w="1909"/>
            <w:vAlign w:val="center"/>
          </w:tcPr>
          <w:p>
            <w:pPr>
              <w:spacing w:after="40" w:before="40"/>
            </w:pPr>
            <w:r>
              <w:rPr>
                <w:color w:val="183145"/>
                <w:sz w:val="14"/>
              </w:rPr>
              <w:t>2028–2029</w:t>
            </w:r>
          </w:p>
        </w:tc>
        <w:tc>
          <w:tcPr>
            <w:tcW w:type="dxa" w:w="1909"/>
            <w:vAlign w:val="center"/>
          </w:tcPr>
          <w:p>
            <w:pPr>
              <w:spacing w:after="40" w:before="40"/>
            </w:pPr>
            <w:r>
              <w:rPr>
                <w:color w:val="183145"/>
                <w:sz w:val="14"/>
              </w:rPr>
              <w:t>Instalar 15 unidades integradas estaduais e publicar metas de investigação</w:t>
            </w:r>
          </w:p>
        </w:tc>
        <w:tc>
          <w:tcPr>
            <w:tcW w:type="dxa" w:w="1909"/>
            <w:vAlign w:val="center"/>
          </w:tcPr>
          <w:p>
            <w:pPr>
              <w:spacing w:after="40" w:before="40"/>
            </w:pPr>
            <w:r>
              <w:rPr>
                <w:color w:val="183145"/>
                <w:sz w:val="14"/>
              </w:rPr>
              <w:t>SUSP e PF conforme lei; Segurança R$ 7 bi em 2028–29</w:t>
            </w:r>
          </w:p>
        </w:tc>
        <w:tc>
          <w:tcPr>
            <w:tcW w:type="dxa" w:w="1909"/>
            <w:vAlign w:val="center"/>
          </w:tcPr>
          <w:p>
            <w:pPr>
              <w:spacing w:after="40" w:before="40"/>
            </w:pPr>
            <w:r>
              <w:rPr>
                <w:color w:val="183145"/>
                <w:sz w:val="14"/>
              </w:rPr>
              <w:t>Unidades operacionais e casos com decisão; 65% (cooperação)</w:t>
            </w:r>
          </w:p>
        </w:tc>
      </w:tr>
      <w:tr>
        <w:trPr>
          <w:cantSplit/>
        </w:trPr>
        <w:tc>
          <w:tcPr>
            <w:tcW w:type="dxa" w:w="1909"/>
            <w:vAlign w:val="center"/>
          </w:tcPr>
          <w:p>
            <w:pPr>
              <w:spacing w:after="40" w:before="40"/>
            </w:pPr>
            <w:r>
              <w:rPr>
                <w:color w:val="183145"/>
                <w:sz w:val="14"/>
              </w:rPr>
              <w:t>18 — Manutenção rodoviária</w:t>
            </w:r>
          </w:p>
        </w:tc>
        <w:tc>
          <w:tcPr>
            <w:tcW w:type="dxa" w:w="1909"/>
            <w:vAlign w:val="center"/>
          </w:tcPr>
          <w:p>
            <w:pPr>
              <w:spacing w:after="40" w:before="40"/>
            </w:pPr>
            <w:r>
              <w:rPr>
                <w:color w:val="183145"/>
                <w:sz w:val="14"/>
              </w:rPr>
              <w:t>2028–2029</w:t>
            </w:r>
          </w:p>
        </w:tc>
        <w:tc>
          <w:tcPr>
            <w:tcW w:type="dxa" w:w="1909"/>
            <w:vAlign w:val="center"/>
          </w:tcPr>
          <w:p>
            <w:pPr>
              <w:spacing w:after="40" w:before="40"/>
            </w:pPr>
            <w:r>
              <w:rPr>
                <w:color w:val="183145"/>
                <w:sz w:val="14"/>
              </w:rPr>
              <w:t>Assinar contratos de desempenho para 4 mil km de rodovia federal</w:t>
            </w:r>
          </w:p>
        </w:tc>
        <w:tc>
          <w:tcPr>
            <w:tcW w:type="dxa" w:w="1909"/>
            <w:vAlign w:val="center"/>
          </w:tcPr>
          <w:p>
            <w:pPr>
              <w:spacing w:after="40" w:before="40"/>
            </w:pPr>
            <w:r>
              <w:rPr>
                <w:color w:val="183145"/>
                <w:sz w:val="14"/>
              </w:rPr>
              <w:t>DNIT licitações; Infra R$ 9 bi em 2028–29</w:t>
            </w:r>
          </w:p>
        </w:tc>
        <w:tc>
          <w:tcPr>
            <w:tcW w:type="dxa" w:w="1909"/>
            <w:vAlign w:val="center"/>
          </w:tcPr>
          <w:p>
            <w:pPr>
              <w:spacing w:after="40" w:before="40"/>
            </w:pPr>
            <w:r>
              <w:rPr>
                <w:color w:val="183145"/>
                <w:sz w:val="14"/>
              </w:rPr>
              <w:t>Km fiscalizados e qualidade medida; 65% (contratação)</w:t>
            </w:r>
          </w:p>
        </w:tc>
      </w:tr>
      <w:tr>
        <w:trPr>
          <w:cantSplit/>
        </w:trPr>
        <w:tc>
          <w:tcPr>
            <w:tcW w:type="dxa" w:w="1909"/>
            <w:vAlign w:val="center"/>
          </w:tcPr>
          <w:p>
            <w:pPr>
              <w:spacing w:after="40" w:before="40"/>
            </w:pPr>
            <w:r>
              <w:rPr>
                <w:color w:val="183145"/>
                <w:sz w:val="14"/>
              </w:rPr>
              <w:t>19 — Recuperação de solo</w:t>
            </w:r>
          </w:p>
        </w:tc>
        <w:tc>
          <w:tcPr>
            <w:tcW w:type="dxa" w:w="1909"/>
            <w:vAlign w:val="center"/>
          </w:tcPr>
          <w:p>
            <w:pPr>
              <w:spacing w:after="40" w:before="40"/>
            </w:pPr>
            <w:r>
              <w:rPr>
                <w:color w:val="183145"/>
                <w:sz w:val="14"/>
              </w:rPr>
              <w:t>2028–2029</w:t>
            </w:r>
          </w:p>
        </w:tc>
        <w:tc>
          <w:tcPr>
            <w:tcW w:type="dxa" w:w="1909"/>
            <w:vAlign w:val="center"/>
          </w:tcPr>
          <w:p>
            <w:pPr>
              <w:spacing w:after="40" w:before="40"/>
            </w:pPr>
            <w:r>
              <w:rPr>
                <w:color w:val="183145"/>
                <w:sz w:val="14"/>
              </w:rPr>
              <w:t>Apoiar 150 mil ha em projetos auditáveis de recuperação produtiva</w:t>
            </w:r>
          </w:p>
        </w:tc>
        <w:tc>
          <w:tcPr>
            <w:tcW w:type="dxa" w:w="1909"/>
            <w:vAlign w:val="center"/>
          </w:tcPr>
          <w:p>
            <w:pPr>
              <w:spacing w:after="40" w:before="40"/>
            </w:pPr>
            <w:r>
              <w:rPr>
                <w:color w:val="183145"/>
                <w:sz w:val="14"/>
              </w:rPr>
              <w:t>Editais/assistência; Clima R$ 5 bi em 2028–29</w:t>
            </w:r>
          </w:p>
        </w:tc>
        <w:tc>
          <w:tcPr>
            <w:tcW w:type="dxa" w:w="1909"/>
            <w:vAlign w:val="center"/>
          </w:tcPr>
          <w:p>
            <w:pPr>
              <w:spacing w:after="40" w:before="40"/>
            </w:pPr>
            <w:r>
              <w:rPr>
                <w:color w:val="183145"/>
                <w:sz w:val="14"/>
              </w:rPr>
              <w:t>Ha georreferenciados e sobrevivência; 55% (verificação)</w:t>
            </w:r>
          </w:p>
        </w:tc>
      </w:tr>
      <w:tr>
        <w:trPr>
          <w:cantSplit/>
        </w:trPr>
        <w:tc>
          <w:tcPr>
            <w:tcW w:type="dxa" w:w="1909"/>
            <w:vAlign w:val="center"/>
          </w:tcPr>
          <w:p>
            <w:pPr>
              <w:spacing w:after="40" w:before="40"/>
            </w:pPr>
            <w:r>
              <w:rPr>
                <w:color w:val="183145"/>
                <w:sz w:val="14"/>
              </w:rPr>
              <w:t>20 — Serviços federais acessíveis</w:t>
            </w:r>
          </w:p>
        </w:tc>
        <w:tc>
          <w:tcPr>
            <w:tcW w:type="dxa" w:w="1909"/>
            <w:vAlign w:val="center"/>
          </w:tcPr>
          <w:p>
            <w:pPr>
              <w:spacing w:after="40" w:before="40"/>
            </w:pPr>
            <w:r>
              <w:rPr>
                <w:color w:val="183145"/>
                <w:sz w:val="14"/>
              </w:rPr>
              <w:t>2028–2029</w:t>
            </w:r>
          </w:p>
        </w:tc>
        <w:tc>
          <w:tcPr>
            <w:tcW w:type="dxa" w:w="1909"/>
            <w:vAlign w:val="center"/>
          </w:tcPr>
          <w:p>
            <w:pPr>
              <w:spacing w:after="40" w:before="40"/>
            </w:pPr>
            <w:r>
              <w:rPr>
                <w:color w:val="183145"/>
                <w:sz w:val="14"/>
              </w:rPr>
              <w:t>Reformular 50 serviços digitais prioritários em padrão acessível</w:t>
            </w:r>
          </w:p>
        </w:tc>
        <w:tc>
          <w:tcPr>
            <w:tcW w:type="dxa" w:w="1909"/>
            <w:vAlign w:val="center"/>
          </w:tcPr>
          <w:p>
            <w:pPr>
              <w:spacing w:after="40" w:before="40"/>
            </w:pPr>
            <w:r>
              <w:rPr>
                <w:color w:val="183145"/>
                <w:sz w:val="14"/>
              </w:rPr>
              <w:t>Órgãos federais; Administração R$ 2 bi em 2028–29</w:t>
            </w:r>
          </w:p>
        </w:tc>
        <w:tc>
          <w:tcPr>
            <w:tcW w:type="dxa" w:w="1909"/>
            <w:vAlign w:val="center"/>
          </w:tcPr>
          <w:p>
            <w:pPr>
              <w:spacing w:after="40" w:before="40"/>
            </w:pPr>
            <w:r>
              <w:rPr>
                <w:color w:val="183145"/>
                <w:sz w:val="14"/>
              </w:rPr>
              <w:t>Auditoria de acessibilidade e conclusão; 75% (tecnologia)</w:t>
            </w:r>
          </w:p>
        </w:tc>
      </w:tr>
      <w:tr>
        <w:trPr>
          <w:cantSplit/>
        </w:trPr>
        <w:tc>
          <w:tcPr>
            <w:tcW w:type="dxa" w:w="1909"/>
            <w:vAlign w:val="center"/>
          </w:tcPr>
          <w:p>
            <w:pPr>
              <w:spacing w:after="40" w:before="40"/>
            </w:pPr>
            <w:r>
              <w:rPr>
                <w:color w:val="183145"/>
                <w:sz w:val="14"/>
              </w:rPr>
              <w:t>21 — Direitos de plataformas</w:t>
            </w:r>
          </w:p>
        </w:tc>
        <w:tc>
          <w:tcPr>
            <w:tcW w:type="dxa" w:w="1909"/>
            <w:vAlign w:val="center"/>
          </w:tcPr>
          <w:p>
            <w:pPr>
              <w:spacing w:after="40" w:before="40"/>
            </w:pPr>
            <w:r>
              <w:rPr>
                <w:color w:val="183145"/>
                <w:sz w:val="14"/>
              </w:rPr>
              <w:t>2028–2029</w:t>
            </w:r>
          </w:p>
        </w:tc>
        <w:tc>
          <w:tcPr>
            <w:tcW w:type="dxa" w:w="1909"/>
            <w:vAlign w:val="center"/>
          </w:tcPr>
          <w:p>
            <w:pPr>
              <w:spacing w:after="40" w:before="40"/>
            </w:pPr>
            <w:r>
              <w:rPr>
                <w:color w:val="183145"/>
                <w:sz w:val="14"/>
              </w:rPr>
              <w:t>Buscar aprovação de regra de seguro, transparência e contribuição proporcional</w:t>
            </w:r>
          </w:p>
        </w:tc>
        <w:tc>
          <w:tcPr>
            <w:tcW w:type="dxa" w:w="1909"/>
            <w:vAlign w:val="center"/>
          </w:tcPr>
          <w:p>
            <w:pPr>
              <w:spacing w:after="40" w:before="40"/>
            </w:pPr>
            <w:r>
              <w:rPr>
                <w:color w:val="183145"/>
                <w:sz w:val="14"/>
              </w:rPr>
              <w:t>Projeto de lei, negociação com Congresso; Trabalho</w:t>
            </w:r>
          </w:p>
        </w:tc>
        <w:tc>
          <w:tcPr>
            <w:tcW w:type="dxa" w:w="1909"/>
            <w:vAlign w:val="center"/>
          </w:tcPr>
          <w:p>
            <w:pPr>
              <w:spacing w:after="40" w:before="40"/>
            </w:pPr>
            <w:r>
              <w:rPr>
                <w:color w:val="183145"/>
                <w:sz w:val="14"/>
              </w:rPr>
              <w:t>Lei promulgada e avaliada; 50% (poder legislativo)</w:t>
            </w:r>
          </w:p>
        </w:tc>
      </w:tr>
      <w:tr>
        <w:trPr>
          <w:cantSplit/>
        </w:trPr>
        <w:tc>
          <w:tcPr>
            <w:tcW w:type="dxa" w:w="1909"/>
            <w:vAlign w:val="center"/>
          </w:tcPr>
          <w:p>
            <w:pPr>
              <w:spacing w:after="40" w:before="40"/>
            </w:pPr>
            <w:r>
              <w:rPr>
                <w:color w:val="183145"/>
                <w:sz w:val="14"/>
              </w:rPr>
              <w:t>22 — Avaliação de gastos</w:t>
            </w:r>
          </w:p>
        </w:tc>
        <w:tc>
          <w:tcPr>
            <w:tcW w:type="dxa" w:w="1909"/>
            <w:vAlign w:val="center"/>
          </w:tcPr>
          <w:p>
            <w:pPr>
              <w:spacing w:after="40" w:before="40"/>
            </w:pPr>
            <w:r>
              <w:rPr>
                <w:color w:val="183145"/>
                <w:sz w:val="14"/>
              </w:rPr>
              <w:t>2028–2029</w:t>
            </w:r>
          </w:p>
        </w:tc>
        <w:tc>
          <w:tcPr>
            <w:tcW w:type="dxa" w:w="1909"/>
            <w:vAlign w:val="center"/>
          </w:tcPr>
          <w:p>
            <w:pPr>
              <w:spacing w:after="40" w:before="40"/>
            </w:pPr>
            <w:r>
              <w:rPr>
                <w:color w:val="183145"/>
                <w:sz w:val="14"/>
              </w:rPr>
              <w:t>Concluir 30 avaliações independentes com decisões explícitas</w:t>
            </w:r>
          </w:p>
        </w:tc>
        <w:tc>
          <w:tcPr>
            <w:tcW w:type="dxa" w:w="1909"/>
            <w:vAlign w:val="center"/>
          </w:tcPr>
          <w:p>
            <w:pPr>
              <w:spacing w:after="40" w:before="40"/>
            </w:pPr>
            <w:r>
              <w:rPr>
                <w:color w:val="183145"/>
                <w:sz w:val="14"/>
              </w:rPr>
              <w:t>Planejamento/CGU, equipes internas</w:t>
            </w:r>
          </w:p>
        </w:tc>
        <w:tc>
          <w:tcPr>
            <w:tcW w:type="dxa" w:w="1909"/>
            <w:vAlign w:val="center"/>
          </w:tcPr>
          <w:p>
            <w:pPr>
              <w:spacing w:after="40" w:before="40"/>
            </w:pPr>
            <w:r>
              <w:rPr>
                <w:color w:val="183145"/>
                <w:sz w:val="14"/>
              </w:rPr>
              <w:t>Relatórios e decisões de continuidade; 80% (controle)</w:t>
            </w:r>
          </w:p>
        </w:tc>
      </w:tr>
      <w:tr>
        <w:trPr>
          <w:cantSplit/>
        </w:trPr>
        <w:tc>
          <w:tcPr>
            <w:tcW w:type="dxa" w:w="1909"/>
            <w:vAlign w:val="center"/>
          </w:tcPr>
          <w:p>
            <w:pPr>
              <w:spacing w:after="40" w:before="40"/>
            </w:pPr>
            <w:r>
              <w:rPr>
                <w:color w:val="183145"/>
                <w:sz w:val="14"/>
              </w:rPr>
              <w:t>23 — Alfabetização regional</w:t>
            </w:r>
          </w:p>
        </w:tc>
        <w:tc>
          <w:tcPr>
            <w:tcW w:type="dxa" w:w="1909"/>
            <w:vAlign w:val="center"/>
          </w:tcPr>
          <w:p>
            <w:pPr>
              <w:spacing w:after="40" w:before="40"/>
            </w:pPr>
            <w:r>
              <w:rPr>
                <w:color w:val="183145"/>
                <w:sz w:val="14"/>
              </w:rPr>
              <w:t>2030</w:t>
            </w:r>
          </w:p>
        </w:tc>
        <w:tc>
          <w:tcPr>
            <w:tcW w:type="dxa" w:w="1909"/>
            <w:vAlign w:val="center"/>
          </w:tcPr>
          <w:p>
            <w:pPr>
              <w:spacing w:after="40" w:before="40"/>
            </w:pPr>
            <w:r>
              <w:rPr>
                <w:color w:val="183145"/>
                <w:sz w:val="14"/>
              </w:rPr>
              <w:t>Atingir 80% de crianças alfabetizadas ao fim do 2º ano nas redes pactuadas, após linha-base</w:t>
            </w:r>
          </w:p>
        </w:tc>
        <w:tc>
          <w:tcPr>
            <w:tcW w:type="dxa" w:w="1909"/>
            <w:vAlign w:val="center"/>
          </w:tcPr>
          <w:p>
            <w:pPr>
              <w:spacing w:after="40" w:before="40"/>
            </w:pPr>
            <w:r>
              <w:rPr>
                <w:color w:val="183145"/>
                <w:sz w:val="14"/>
              </w:rPr>
              <w:t>Cooperação federativa, Educação R$ 11 bi em 2030</w:t>
            </w:r>
          </w:p>
        </w:tc>
        <w:tc>
          <w:tcPr>
            <w:tcW w:type="dxa" w:w="1909"/>
            <w:vAlign w:val="center"/>
          </w:tcPr>
          <w:p>
            <w:pPr>
              <w:spacing w:after="40" w:before="40"/>
            </w:pPr>
            <w:r>
              <w:rPr>
                <w:color w:val="183145"/>
                <w:sz w:val="14"/>
              </w:rPr>
              <w:t>Avaliação comparável do INEP/redes; 55% (aprendizagem multicausal)</w:t>
            </w:r>
          </w:p>
        </w:tc>
      </w:tr>
      <w:tr>
        <w:trPr>
          <w:cantSplit/>
        </w:trPr>
        <w:tc>
          <w:tcPr>
            <w:tcW w:type="dxa" w:w="1909"/>
            <w:vAlign w:val="center"/>
          </w:tcPr>
          <w:p>
            <w:pPr>
              <w:spacing w:after="40" w:before="40"/>
            </w:pPr>
            <w:r>
              <w:rPr>
                <w:color w:val="183145"/>
                <w:sz w:val="14"/>
              </w:rPr>
              <w:t>24 — Menos espera cirúrgica</w:t>
            </w:r>
          </w:p>
        </w:tc>
        <w:tc>
          <w:tcPr>
            <w:tcW w:type="dxa" w:w="1909"/>
            <w:vAlign w:val="center"/>
          </w:tcPr>
          <w:p>
            <w:pPr>
              <w:spacing w:after="40" w:before="40"/>
            </w:pPr>
            <w:r>
              <w:rPr>
                <w:color w:val="183145"/>
                <w:sz w:val="14"/>
              </w:rPr>
              <w:t>2030</w:t>
            </w:r>
          </w:p>
        </w:tc>
        <w:tc>
          <w:tcPr>
            <w:tcW w:type="dxa" w:w="1909"/>
            <w:vAlign w:val="center"/>
          </w:tcPr>
          <w:p>
            <w:pPr>
              <w:spacing w:after="40" w:before="40"/>
            </w:pPr>
            <w:r>
              <w:rPr>
                <w:color w:val="183145"/>
                <w:sz w:val="14"/>
              </w:rPr>
              <w:t>Reduzir em 20% espera mediana de 10 procedimentos nas redes SUS aderentes, comparada à linha 2027</w:t>
            </w:r>
          </w:p>
        </w:tc>
        <w:tc>
          <w:tcPr>
            <w:tcW w:type="dxa" w:w="1909"/>
            <w:vAlign w:val="center"/>
          </w:tcPr>
          <w:p>
            <w:pPr>
              <w:spacing w:after="40" w:before="40"/>
            </w:pPr>
            <w:r>
              <w:rPr>
                <w:color w:val="183145"/>
                <w:sz w:val="14"/>
              </w:rPr>
              <w:t>Contratos pactuados, Saúde R$ 10 bi em 2030</w:t>
            </w:r>
          </w:p>
        </w:tc>
        <w:tc>
          <w:tcPr>
            <w:tcW w:type="dxa" w:w="1909"/>
            <w:vAlign w:val="center"/>
          </w:tcPr>
          <w:p>
            <w:pPr>
              <w:spacing w:after="40" w:before="40"/>
            </w:pPr>
            <w:r>
              <w:rPr>
                <w:color w:val="183145"/>
                <w:sz w:val="14"/>
              </w:rPr>
              <w:t>Fila auditada, ajustada por gravidade; 50% (oferta e adesão)</w:t>
            </w:r>
          </w:p>
        </w:tc>
      </w:tr>
      <w:tr>
        <w:trPr>
          <w:cantSplit/>
        </w:trPr>
        <w:tc>
          <w:tcPr>
            <w:tcW w:type="dxa" w:w="1909"/>
            <w:vAlign w:val="center"/>
          </w:tcPr>
          <w:p>
            <w:pPr>
              <w:spacing w:after="40" w:before="40"/>
            </w:pPr>
            <w:r>
              <w:rPr>
                <w:color w:val="183145"/>
                <w:sz w:val="14"/>
              </w:rPr>
              <w:t>25 — Transição de jornada</w:t>
            </w:r>
          </w:p>
        </w:tc>
        <w:tc>
          <w:tcPr>
            <w:tcW w:type="dxa" w:w="1909"/>
            <w:vAlign w:val="center"/>
          </w:tcPr>
          <w:p>
            <w:pPr>
              <w:spacing w:after="40" w:before="40"/>
            </w:pPr>
            <w:r>
              <w:rPr>
                <w:color w:val="183145"/>
                <w:sz w:val="14"/>
              </w:rPr>
              <w:t>2030</w:t>
            </w:r>
          </w:p>
        </w:tc>
        <w:tc>
          <w:tcPr>
            <w:tcW w:type="dxa" w:w="1909"/>
            <w:vAlign w:val="center"/>
          </w:tcPr>
          <w:p>
            <w:pPr>
              <w:spacing w:after="40" w:before="40"/>
            </w:pPr>
            <w:r>
              <w:rPr>
                <w:color w:val="183145"/>
                <w:sz w:val="14"/>
              </w:rPr>
              <w:t>Tentar concluir implantação das etapas negociadas de 40h, sujeita a lei e emprego</w:t>
            </w:r>
          </w:p>
        </w:tc>
        <w:tc>
          <w:tcPr>
            <w:tcW w:type="dxa" w:w="1909"/>
            <w:vAlign w:val="center"/>
          </w:tcPr>
          <w:p>
            <w:pPr>
              <w:spacing w:after="40" w:before="40"/>
            </w:pPr>
            <w:r>
              <w:rPr>
                <w:color w:val="183145"/>
                <w:sz w:val="14"/>
              </w:rPr>
              <w:t>Votação no Congresso e avaliações; Trabalho R$ 1 bi em 2030</w:t>
            </w:r>
          </w:p>
        </w:tc>
        <w:tc>
          <w:tcPr>
            <w:tcW w:type="dxa" w:w="1909"/>
            <w:vAlign w:val="center"/>
          </w:tcPr>
          <w:p>
            <w:pPr>
              <w:spacing w:after="40" w:before="40"/>
            </w:pPr>
            <w:r>
              <w:rPr>
                <w:color w:val="183145"/>
                <w:sz w:val="14"/>
              </w:rPr>
              <w:t>Jornada registrada, emprego e salário-hora; 40% (alto veto legislativo)</w:t>
            </w:r>
          </w:p>
        </w:tc>
      </w:tr>
    </w:tbl>
    <w:p/>
    <w:p>
      <w:r>
        <w:t>O compromisso 07 refere-se à contratação, não a 500 creches entregues. O compromisso 13 é de ENVIO do projeto, não de sua aprovação. O compromisso 25 reconhece que lei trabalhista não depende só do Executivo. Todas as metas regionais dependem da metodologia do período-base publicada sem escolha oportunista posterior. Se projeto for rejeitado, ele não será contado como implementado.</w:t>
      </w:r>
    </w:p>
    <w:p>
      <w:pPr>
        <w:pStyle w:val="Heading1"/>
      </w:pPr>
      <w:r>
        <w:t>2. Plano financeiro federal incremental — 2027 a 2030</w:t>
      </w:r>
    </w:p>
    <w:p>
      <w:r>
        <w:t>Premissa: valores em bilhões de reais CONSTANTES de 2026; NÃO são dotações reais aprovadas, projeções do Tesouro ou promessas de crescimento de arrecadação já contratado. Representam proposta programática a submeter ao Congresso e aos limites da regra fiscal. A origem dos offsets inclui medidas tributárias legislativas incertas. O saldo projetado entre offsets e custos não garante automaticamente melhora equivalente do primário, pois base fiscal, indexações, juros e comportamento econômico variam.</w:t>
      </w:r>
    </w:p>
    <w:p>
      <w:pPr>
        <w:pStyle w:val="Heading2"/>
      </w:pPr>
      <w:r>
        <w:t>Despesas incrementais federais</w:t>
      </w:r>
    </w:p>
    <w:tbl>
      <w:tblPr>
        <w:tblStyle w:val="TableGrid"/>
        <w:tblW w:type="auto" w:w="0"/>
        <w:jc w:val="center"/>
        <w:tblLook w:firstColumn="1" w:firstRow="1" w:lastColumn="0" w:lastRow="0" w:noHBand="0" w:noVBand="1" w:val="04A0"/>
      </w:tblPr>
      <w:tblGrid>
        <w:gridCol w:w="1591"/>
        <w:gridCol w:w="1591"/>
        <w:gridCol w:w="1591"/>
        <w:gridCol w:w="1591"/>
        <w:gridCol w:w="1591"/>
        <w:gridCol w:w="1591"/>
      </w:tblGrid>
      <w:tr>
        <w:trPr>
          <w:tblHeader w:val="true"/>
          <w:cantSplit/>
        </w:trPr>
        <w:tc>
          <w:tcPr>
            <w:tcW w:type="dxa" w:w="1591"/>
            <w:shd w:fill="183145"/>
          </w:tcPr>
          <w:p>
            <w:r>
              <w:rPr>
                <w:b/>
                <w:color w:val="FFFFFF"/>
                <w:sz w:val="16"/>
              </w:rPr>
              <w:t>Área / fonte</w:t>
            </w:r>
          </w:p>
        </w:tc>
        <w:tc>
          <w:tcPr>
            <w:tcW w:type="dxa" w:w="1591"/>
            <w:shd w:fill="183145"/>
          </w:tcPr>
          <w:p>
            <w:r>
              <w:rPr>
                <w:b/>
                <w:color w:val="FFFFFF"/>
                <w:sz w:val="16"/>
              </w:rPr>
              <w:t>2027</w:t>
            </w:r>
          </w:p>
        </w:tc>
        <w:tc>
          <w:tcPr>
            <w:tcW w:type="dxa" w:w="1591"/>
            <w:shd w:fill="183145"/>
          </w:tcPr>
          <w:p>
            <w:r>
              <w:rPr>
                <w:b/>
                <w:color w:val="FFFFFF"/>
                <w:sz w:val="16"/>
              </w:rPr>
              <w:t>2028</w:t>
            </w:r>
          </w:p>
        </w:tc>
        <w:tc>
          <w:tcPr>
            <w:tcW w:type="dxa" w:w="1591"/>
            <w:shd w:fill="183145"/>
          </w:tcPr>
          <w:p>
            <w:r>
              <w:rPr>
                <w:b/>
                <w:color w:val="FFFFFF"/>
                <w:sz w:val="16"/>
              </w:rPr>
              <w:t>2029</w:t>
            </w:r>
          </w:p>
        </w:tc>
        <w:tc>
          <w:tcPr>
            <w:tcW w:type="dxa" w:w="1591"/>
            <w:shd w:fill="183145"/>
          </w:tcPr>
          <w:p>
            <w:r>
              <w:rPr>
                <w:b/>
                <w:color w:val="FFFFFF"/>
                <w:sz w:val="16"/>
              </w:rPr>
              <w:t>2030</w:t>
            </w:r>
          </w:p>
        </w:tc>
        <w:tc>
          <w:tcPr>
            <w:tcW w:type="dxa" w:w="1591"/>
            <w:shd w:fill="183145"/>
          </w:tcPr>
          <w:p>
            <w:r>
              <w:rPr>
                <w:b/>
                <w:color w:val="FFFFFF"/>
                <w:sz w:val="16"/>
              </w:rPr>
              <w:t>2027–30</w:t>
            </w:r>
          </w:p>
        </w:tc>
      </w:tr>
      <w:tr>
        <w:trPr>
          <w:cantSplit/>
        </w:trPr>
        <w:tc>
          <w:tcPr>
            <w:tcW w:type="dxa" w:w="1591"/>
            <w:vAlign w:val="center"/>
          </w:tcPr>
          <w:p>
            <w:pPr>
              <w:spacing w:after="40" w:before="40"/>
            </w:pPr>
            <w:r>
              <w:rPr>
                <w:color w:val="183145"/>
                <w:sz w:val="16"/>
              </w:rPr>
              <w:t>Educação, alfabetização e creches</w:t>
            </w:r>
          </w:p>
        </w:tc>
        <w:tc>
          <w:tcPr>
            <w:tcW w:type="dxa" w:w="1591"/>
            <w:vAlign w:val="center"/>
          </w:tcPr>
          <w:p>
            <w:pPr>
              <w:spacing w:after="40" w:before="40"/>
            </w:pPr>
            <w:r>
              <w:rPr>
                <w:color w:val="183145"/>
                <w:sz w:val="16"/>
              </w:rPr>
              <w:t>3</w:t>
            </w:r>
          </w:p>
        </w:tc>
        <w:tc>
          <w:tcPr>
            <w:tcW w:type="dxa" w:w="1591"/>
            <w:vAlign w:val="center"/>
          </w:tcPr>
          <w:p>
            <w:pPr>
              <w:spacing w:after="40" w:before="40"/>
            </w:pPr>
            <w:r>
              <w:rPr>
                <w:color w:val="183145"/>
                <w:sz w:val="16"/>
              </w:rPr>
              <w:t>7</w:t>
            </w:r>
          </w:p>
        </w:tc>
        <w:tc>
          <w:tcPr>
            <w:tcW w:type="dxa" w:w="1591"/>
            <w:vAlign w:val="center"/>
          </w:tcPr>
          <w:p>
            <w:pPr>
              <w:spacing w:after="40" w:before="40"/>
            </w:pPr>
            <w:r>
              <w:rPr>
                <w:color w:val="183145"/>
                <w:sz w:val="16"/>
              </w:rPr>
              <w:t>9</w:t>
            </w:r>
          </w:p>
        </w:tc>
        <w:tc>
          <w:tcPr>
            <w:tcW w:type="dxa" w:w="1591"/>
            <w:vAlign w:val="center"/>
          </w:tcPr>
          <w:p>
            <w:pPr>
              <w:spacing w:after="40" w:before="40"/>
            </w:pPr>
            <w:r>
              <w:rPr>
                <w:color w:val="183145"/>
                <w:sz w:val="16"/>
              </w:rPr>
              <w:t>11</w:t>
            </w:r>
          </w:p>
        </w:tc>
        <w:tc>
          <w:tcPr>
            <w:tcW w:type="dxa" w:w="1591"/>
            <w:vAlign w:val="center"/>
          </w:tcPr>
          <w:p>
            <w:pPr>
              <w:spacing w:after="40" w:before="40"/>
            </w:pPr>
            <w:r>
              <w:rPr>
                <w:color w:val="183145"/>
                <w:sz w:val="16"/>
              </w:rPr>
              <w:t>30</w:t>
            </w:r>
          </w:p>
        </w:tc>
      </w:tr>
      <w:tr>
        <w:trPr>
          <w:cantSplit/>
        </w:trPr>
        <w:tc>
          <w:tcPr>
            <w:tcW w:type="dxa" w:w="1591"/>
            <w:vAlign w:val="center"/>
          </w:tcPr>
          <w:p>
            <w:pPr>
              <w:spacing w:after="40" w:before="40"/>
            </w:pPr>
            <w:r>
              <w:rPr>
                <w:color w:val="183145"/>
                <w:sz w:val="16"/>
              </w:rPr>
              <w:t>SUS, atenção primária e filas</w:t>
            </w:r>
          </w:p>
        </w:tc>
        <w:tc>
          <w:tcPr>
            <w:tcW w:type="dxa" w:w="1591"/>
            <w:vAlign w:val="center"/>
          </w:tcPr>
          <w:p>
            <w:pPr>
              <w:spacing w:after="40" w:before="40"/>
            </w:pPr>
            <w:r>
              <w:rPr>
                <w:color w:val="183145"/>
                <w:sz w:val="16"/>
              </w:rPr>
              <w:t>4</w:t>
            </w:r>
          </w:p>
        </w:tc>
        <w:tc>
          <w:tcPr>
            <w:tcW w:type="dxa" w:w="1591"/>
            <w:vAlign w:val="center"/>
          </w:tcPr>
          <w:p>
            <w:pPr>
              <w:spacing w:after="40" w:before="40"/>
            </w:pPr>
            <w:r>
              <w:rPr>
                <w:color w:val="183145"/>
                <w:sz w:val="16"/>
              </w:rPr>
              <w:t>7</w:t>
            </w:r>
          </w:p>
        </w:tc>
        <w:tc>
          <w:tcPr>
            <w:tcW w:type="dxa" w:w="1591"/>
            <w:vAlign w:val="center"/>
          </w:tcPr>
          <w:p>
            <w:pPr>
              <w:spacing w:after="40" w:before="40"/>
            </w:pPr>
            <w:r>
              <w:rPr>
                <w:color w:val="183145"/>
                <w:sz w:val="16"/>
              </w:rPr>
              <w:t>9</w:t>
            </w:r>
          </w:p>
        </w:tc>
        <w:tc>
          <w:tcPr>
            <w:tcW w:type="dxa" w:w="1591"/>
            <w:vAlign w:val="center"/>
          </w:tcPr>
          <w:p>
            <w:pPr>
              <w:spacing w:after="40" w:before="40"/>
            </w:pPr>
            <w:r>
              <w:rPr>
                <w:color w:val="183145"/>
                <w:sz w:val="16"/>
              </w:rPr>
              <w:t>10</w:t>
            </w:r>
          </w:p>
        </w:tc>
        <w:tc>
          <w:tcPr>
            <w:tcW w:type="dxa" w:w="1591"/>
            <w:vAlign w:val="center"/>
          </w:tcPr>
          <w:p>
            <w:pPr>
              <w:spacing w:after="40" w:before="40"/>
            </w:pPr>
            <w:r>
              <w:rPr>
                <w:color w:val="183145"/>
                <w:sz w:val="16"/>
              </w:rPr>
              <w:t>30</w:t>
            </w:r>
          </w:p>
        </w:tc>
      </w:tr>
      <w:tr>
        <w:trPr>
          <w:cantSplit/>
        </w:trPr>
        <w:tc>
          <w:tcPr>
            <w:tcW w:type="dxa" w:w="1591"/>
            <w:vAlign w:val="center"/>
          </w:tcPr>
          <w:p>
            <w:pPr>
              <w:spacing w:after="40" w:before="40"/>
            </w:pPr>
            <w:r>
              <w:rPr>
                <w:color w:val="183145"/>
                <w:sz w:val="16"/>
              </w:rPr>
              <w:t>Inteligência e segurança pública</w:t>
            </w:r>
          </w:p>
        </w:tc>
        <w:tc>
          <w:tcPr>
            <w:tcW w:type="dxa" w:w="1591"/>
            <w:vAlign w:val="center"/>
          </w:tcPr>
          <w:p>
            <w:pPr>
              <w:spacing w:after="40" w:before="40"/>
            </w:pPr>
            <w:r>
              <w:rPr>
                <w:color w:val="183145"/>
                <w:sz w:val="16"/>
              </w:rPr>
              <w:t>2</w:t>
            </w:r>
          </w:p>
        </w:tc>
        <w:tc>
          <w:tcPr>
            <w:tcW w:type="dxa" w:w="1591"/>
            <w:vAlign w:val="center"/>
          </w:tcPr>
          <w:p>
            <w:pPr>
              <w:spacing w:after="40" w:before="40"/>
            </w:pPr>
            <w:r>
              <w:rPr>
                <w:color w:val="183145"/>
                <w:sz w:val="16"/>
              </w:rPr>
              <w:t>3</w:t>
            </w:r>
          </w:p>
        </w:tc>
        <w:tc>
          <w:tcPr>
            <w:tcW w:type="dxa" w:w="1591"/>
            <w:vAlign w:val="center"/>
          </w:tcPr>
          <w:p>
            <w:pPr>
              <w:spacing w:after="40" w:before="40"/>
            </w:pPr>
            <w:r>
              <w:rPr>
                <w:color w:val="183145"/>
                <w:sz w:val="16"/>
              </w:rPr>
              <w:t>4</w:t>
            </w:r>
          </w:p>
        </w:tc>
        <w:tc>
          <w:tcPr>
            <w:tcW w:type="dxa" w:w="1591"/>
            <w:vAlign w:val="center"/>
          </w:tcPr>
          <w:p>
            <w:pPr>
              <w:spacing w:after="40" w:before="40"/>
            </w:pPr>
            <w:r>
              <w:rPr>
                <w:color w:val="183145"/>
                <w:sz w:val="16"/>
              </w:rPr>
              <w:t>5</w:t>
            </w:r>
          </w:p>
        </w:tc>
        <w:tc>
          <w:tcPr>
            <w:tcW w:type="dxa" w:w="1591"/>
            <w:vAlign w:val="center"/>
          </w:tcPr>
          <w:p>
            <w:pPr>
              <w:spacing w:after="40" w:before="40"/>
            </w:pPr>
            <w:r>
              <w:rPr>
                <w:color w:val="183145"/>
                <w:sz w:val="16"/>
              </w:rPr>
              <w:t>14</w:t>
            </w:r>
          </w:p>
        </w:tc>
      </w:tr>
      <w:tr>
        <w:trPr>
          <w:cantSplit/>
        </w:trPr>
        <w:tc>
          <w:tcPr>
            <w:tcW w:type="dxa" w:w="1591"/>
            <w:vAlign w:val="center"/>
          </w:tcPr>
          <w:p>
            <w:pPr>
              <w:spacing w:after="40" w:before="40"/>
            </w:pPr>
            <w:r>
              <w:rPr>
                <w:color w:val="183145"/>
                <w:sz w:val="16"/>
              </w:rPr>
              <w:t>Água e saneamento</w:t>
            </w:r>
          </w:p>
        </w:tc>
        <w:tc>
          <w:tcPr>
            <w:tcW w:type="dxa" w:w="1591"/>
            <w:vAlign w:val="center"/>
          </w:tcPr>
          <w:p>
            <w:pPr>
              <w:spacing w:after="40" w:before="40"/>
            </w:pPr>
            <w:r>
              <w:rPr>
                <w:color w:val="183145"/>
                <w:sz w:val="16"/>
              </w:rPr>
              <w:t>2</w:t>
            </w:r>
          </w:p>
        </w:tc>
        <w:tc>
          <w:tcPr>
            <w:tcW w:type="dxa" w:w="1591"/>
            <w:vAlign w:val="center"/>
          </w:tcPr>
          <w:p>
            <w:pPr>
              <w:spacing w:after="40" w:before="40"/>
            </w:pPr>
            <w:r>
              <w:rPr>
                <w:color w:val="183145"/>
                <w:sz w:val="16"/>
              </w:rPr>
              <w:t>4</w:t>
            </w:r>
          </w:p>
        </w:tc>
        <w:tc>
          <w:tcPr>
            <w:tcW w:type="dxa" w:w="1591"/>
            <w:vAlign w:val="center"/>
          </w:tcPr>
          <w:p>
            <w:pPr>
              <w:spacing w:after="40" w:before="40"/>
            </w:pPr>
            <w:r>
              <w:rPr>
                <w:color w:val="183145"/>
                <w:sz w:val="16"/>
              </w:rPr>
              <w:t>6</w:t>
            </w:r>
          </w:p>
        </w:tc>
        <w:tc>
          <w:tcPr>
            <w:tcW w:type="dxa" w:w="1591"/>
            <w:vAlign w:val="center"/>
          </w:tcPr>
          <w:p>
            <w:pPr>
              <w:spacing w:after="40" w:before="40"/>
            </w:pPr>
            <w:r>
              <w:rPr>
                <w:color w:val="183145"/>
                <w:sz w:val="16"/>
              </w:rPr>
              <w:t>7</w:t>
            </w:r>
          </w:p>
        </w:tc>
        <w:tc>
          <w:tcPr>
            <w:tcW w:type="dxa" w:w="1591"/>
            <w:vAlign w:val="center"/>
          </w:tcPr>
          <w:p>
            <w:pPr>
              <w:spacing w:after="40" w:before="40"/>
            </w:pPr>
            <w:r>
              <w:rPr>
                <w:color w:val="183145"/>
                <w:sz w:val="16"/>
              </w:rPr>
              <w:t>19</w:t>
            </w:r>
          </w:p>
        </w:tc>
      </w:tr>
      <w:tr>
        <w:trPr>
          <w:cantSplit/>
        </w:trPr>
        <w:tc>
          <w:tcPr>
            <w:tcW w:type="dxa" w:w="1591"/>
            <w:vAlign w:val="center"/>
          </w:tcPr>
          <w:p>
            <w:pPr>
              <w:spacing w:after="40" w:before="40"/>
            </w:pPr>
            <w:r>
              <w:rPr>
                <w:color w:val="183145"/>
                <w:sz w:val="16"/>
              </w:rPr>
              <w:t>Ciência, inovação e digitalização</w:t>
            </w:r>
          </w:p>
        </w:tc>
        <w:tc>
          <w:tcPr>
            <w:tcW w:type="dxa" w:w="1591"/>
            <w:vAlign w:val="center"/>
          </w:tcPr>
          <w:p>
            <w:pPr>
              <w:spacing w:after="40" w:before="40"/>
            </w:pPr>
            <w:r>
              <w:rPr>
                <w:color w:val="183145"/>
                <w:sz w:val="16"/>
              </w:rPr>
              <w:t>2</w:t>
            </w:r>
          </w:p>
        </w:tc>
        <w:tc>
          <w:tcPr>
            <w:tcW w:type="dxa" w:w="1591"/>
            <w:vAlign w:val="center"/>
          </w:tcPr>
          <w:p>
            <w:pPr>
              <w:spacing w:after="40" w:before="40"/>
            </w:pPr>
            <w:r>
              <w:rPr>
                <w:color w:val="183145"/>
                <w:sz w:val="16"/>
              </w:rPr>
              <w:t>4</w:t>
            </w:r>
          </w:p>
        </w:tc>
        <w:tc>
          <w:tcPr>
            <w:tcW w:type="dxa" w:w="1591"/>
            <w:vAlign w:val="center"/>
          </w:tcPr>
          <w:p>
            <w:pPr>
              <w:spacing w:after="40" w:before="40"/>
            </w:pPr>
            <w:r>
              <w:rPr>
                <w:color w:val="183145"/>
                <w:sz w:val="16"/>
              </w:rPr>
              <w:t>6</w:t>
            </w:r>
          </w:p>
        </w:tc>
        <w:tc>
          <w:tcPr>
            <w:tcW w:type="dxa" w:w="1591"/>
            <w:vAlign w:val="center"/>
          </w:tcPr>
          <w:p>
            <w:pPr>
              <w:spacing w:after="40" w:before="40"/>
            </w:pPr>
            <w:r>
              <w:rPr>
                <w:color w:val="183145"/>
                <w:sz w:val="16"/>
              </w:rPr>
              <w:t>7</w:t>
            </w:r>
          </w:p>
        </w:tc>
        <w:tc>
          <w:tcPr>
            <w:tcW w:type="dxa" w:w="1591"/>
            <w:vAlign w:val="center"/>
          </w:tcPr>
          <w:p>
            <w:pPr>
              <w:spacing w:after="40" w:before="40"/>
            </w:pPr>
            <w:r>
              <w:rPr>
                <w:color w:val="183145"/>
                <w:sz w:val="16"/>
              </w:rPr>
              <w:t>19</w:t>
            </w:r>
          </w:p>
        </w:tc>
      </w:tr>
      <w:tr>
        <w:trPr>
          <w:cantSplit/>
        </w:trPr>
        <w:tc>
          <w:tcPr>
            <w:tcW w:type="dxa" w:w="1591"/>
            <w:vAlign w:val="center"/>
          </w:tcPr>
          <w:p>
            <w:pPr>
              <w:spacing w:after="40" w:before="40"/>
            </w:pPr>
            <w:r>
              <w:rPr>
                <w:color w:val="183145"/>
                <w:sz w:val="16"/>
              </w:rPr>
              <w:t>Infraestrutura e adaptação</w:t>
            </w:r>
          </w:p>
        </w:tc>
        <w:tc>
          <w:tcPr>
            <w:tcW w:type="dxa" w:w="1591"/>
            <w:vAlign w:val="center"/>
          </w:tcPr>
          <w:p>
            <w:pPr>
              <w:spacing w:after="40" w:before="40"/>
            </w:pPr>
            <w:r>
              <w:rPr>
                <w:color w:val="183145"/>
                <w:sz w:val="16"/>
              </w:rPr>
              <w:t>2</w:t>
            </w:r>
          </w:p>
        </w:tc>
        <w:tc>
          <w:tcPr>
            <w:tcW w:type="dxa" w:w="1591"/>
            <w:vAlign w:val="center"/>
          </w:tcPr>
          <w:p>
            <w:pPr>
              <w:spacing w:after="40" w:before="40"/>
            </w:pPr>
            <w:r>
              <w:rPr>
                <w:color w:val="183145"/>
                <w:sz w:val="16"/>
              </w:rPr>
              <w:t>4</w:t>
            </w:r>
          </w:p>
        </w:tc>
        <w:tc>
          <w:tcPr>
            <w:tcW w:type="dxa" w:w="1591"/>
            <w:vAlign w:val="center"/>
          </w:tcPr>
          <w:p>
            <w:pPr>
              <w:spacing w:after="40" w:before="40"/>
            </w:pPr>
            <w:r>
              <w:rPr>
                <w:color w:val="183145"/>
                <w:sz w:val="16"/>
              </w:rPr>
              <w:t>5</w:t>
            </w:r>
          </w:p>
        </w:tc>
        <w:tc>
          <w:tcPr>
            <w:tcW w:type="dxa" w:w="1591"/>
            <w:vAlign w:val="center"/>
          </w:tcPr>
          <w:p>
            <w:pPr>
              <w:spacing w:after="40" w:before="40"/>
            </w:pPr>
            <w:r>
              <w:rPr>
                <w:color w:val="183145"/>
                <w:sz w:val="16"/>
              </w:rPr>
              <w:t>6</w:t>
            </w:r>
          </w:p>
        </w:tc>
        <w:tc>
          <w:tcPr>
            <w:tcW w:type="dxa" w:w="1591"/>
            <w:vAlign w:val="center"/>
          </w:tcPr>
          <w:p>
            <w:pPr>
              <w:spacing w:after="40" w:before="40"/>
            </w:pPr>
            <w:r>
              <w:rPr>
                <w:color w:val="183145"/>
                <w:sz w:val="16"/>
              </w:rPr>
              <w:t>17</w:t>
            </w:r>
          </w:p>
        </w:tc>
      </w:tr>
      <w:tr>
        <w:trPr>
          <w:cantSplit/>
        </w:trPr>
        <w:tc>
          <w:tcPr>
            <w:tcW w:type="dxa" w:w="1591"/>
            <w:vAlign w:val="center"/>
          </w:tcPr>
          <w:p>
            <w:pPr>
              <w:spacing w:after="40" w:before="40"/>
            </w:pPr>
            <w:r>
              <w:rPr>
                <w:color w:val="183145"/>
                <w:sz w:val="16"/>
              </w:rPr>
              <w:t>Habitação focalizada</w:t>
            </w:r>
          </w:p>
        </w:tc>
        <w:tc>
          <w:tcPr>
            <w:tcW w:type="dxa" w:w="1591"/>
            <w:vAlign w:val="center"/>
          </w:tcPr>
          <w:p>
            <w:pPr>
              <w:spacing w:after="40" w:before="40"/>
            </w:pPr>
            <w:r>
              <w:rPr>
                <w:color w:val="183145"/>
                <w:sz w:val="16"/>
              </w:rPr>
              <w:t>1</w:t>
            </w:r>
          </w:p>
        </w:tc>
        <w:tc>
          <w:tcPr>
            <w:tcW w:type="dxa" w:w="1591"/>
            <w:vAlign w:val="center"/>
          </w:tcPr>
          <w:p>
            <w:pPr>
              <w:spacing w:after="40" w:before="40"/>
            </w:pPr>
            <w:r>
              <w:rPr>
                <w:color w:val="183145"/>
                <w:sz w:val="16"/>
              </w:rPr>
              <w:t>2</w:t>
            </w:r>
          </w:p>
        </w:tc>
        <w:tc>
          <w:tcPr>
            <w:tcW w:type="dxa" w:w="1591"/>
            <w:vAlign w:val="center"/>
          </w:tcPr>
          <w:p>
            <w:pPr>
              <w:spacing w:after="40" w:before="40"/>
            </w:pPr>
            <w:r>
              <w:rPr>
                <w:color w:val="183145"/>
                <w:sz w:val="16"/>
              </w:rPr>
              <w:t>3</w:t>
            </w:r>
          </w:p>
        </w:tc>
        <w:tc>
          <w:tcPr>
            <w:tcW w:type="dxa" w:w="1591"/>
            <w:vAlign w:val="center"/>
          </w:tcPr>
          <w:p>
            <w:pPr>
              <w:spacing w:after="40" w:before="40"/>
            </w:pPr>
            <w:r>
              <w:rPr>
                <w:color w:val="183145"/>
                <w:sz w:val="16"/>
              </w:rPr>
              <w:t>4</w:t>
            </w:r>
          </w:p>
        </w:tc>
        <w:tc>
          <w:tcPr>
            <w:tcW w:type="dxa" w:w="1591"/>
            <w:vAlign w:val="center"/>
          </w:tcPr>
          <w:p>
            <w:pPr>
              <w:spacing w:after="40" w:before="40"/>
            </w:pPr>
            <w:r>
              <w:rPr>
                <w:color w:val="183145"/>
                <w:sz w:val="16"/>
              </w:rPr>
              <w:t>10</w:t>
            </w:r>
          </w:p>
        </w:tc>
      </w:tr>
      <w:tr>
        <w:trPr>
          <w:cantSplit/>
        </w:trPr>
        <w:tc>
          <w:tcPr>
            <w:tcW w:type="dxa" w:w="1591"/>
            <w:vAlign w:val="center"/>
          </w:tcPr>
          <w:p>
            <w:pPr>
              <w:spacing w:after="40" w:before="40"/>
            </w:pPr>
            <w:r>
              <w:rPr>
                <w:color w:val="183145"/>
                <w:sz w:val="16"/>
              </w:rPr>
              <w:t>Clima e conservação</w:t>
            </w:r>
          </w:p>
        </w:tc>
        <w:tc>
          <w:tcPr>
            <w:tcW w:type="dxa" w:w="1591"/>
            <w:vAlign w:val="center"/>
          </w:tcPr>
          <w:p>
            <w:pPr>
              <w:spacing w:after="40" w:before="40"/>
            </w:pPr>
            <w:r>
              <w:rPr>
                <w:color w:val="183145"/>
                <w:sz w:val="16"/>
              </w:rPr>
              <w:t>1</w:t>
            </w:r>
          </w:p>
        </w:tc>
        <w:tc>
          <w:tcPr>
            <w:tcW w:type="dxa" w:w="1591"/>
            <w:vAlign w:val="center"/>
          </w:tcPr>
          <w:p>
            <w:pPr>
              <w:spacing w:after="40" w:before="40"/>
            </w:pPr>
            <w:r>
              <w:rPr>
                <w:color w:val="183145"/>
                <w:sz w:val="16"/>
              </w:rPr>
              <w:t>2</w:t>
            </w:r>
          </w:p>
        </w:tc>
        <w:tc>
          <w:tcPr>
            <w:tcW w:type="dxa" w:w="1591"/>
            <w:vAlign w:val="center"/>
          </w:tcPr>
          <w:p>
            <w:pPr>
              <w:spacing w:after="40" w:before="40"/>
            </w:pPr>
            <w:r>
              <w:rPr>
                <w:color w:val="183145"/>
                <w:sz w:val="16"/>
              </w:rPr>
              <w:t>3</w:t>
            </w:r>
          </w:p>
        </w:tc>
        <w:tc>
          <w:tcPr>
            <w:tcW w:type="dxa" w:w="1591"/>
            <w:vAlign w:val="center"/>
          </w:tcPr>
          <w:p>
            <w:pPr>
              <w:spacing w:after="40" w:before="40"/>
            </w:pPr>
            <w:r>
              <w:rPr>
                <w:color w:val="183145"/>
                <w:sz w:val="16"/>
              </w:rPr>
              <w:t>3</w:t>
            </w:r>
          </w:p>
        </w:tc>
        <w:tc>
          <w:tcPr>
            <w:tcW w:type="dxa" w:w="1591"/>
            <w:vAlign w:val="center"/>
          </w:tcPr>
          <w:p>
            <w:pPr>
              <w:spacing w:after="40" w:before="40"/>
            </w:pPr>
            <w:r>
              <w:rPr>
                <w:color w:val="183145"/>
                <w:sz w:val="16"/>
              </w:rPr>
              <w:t>9</w:t>
            </w:r>
          </w:p>
        </w:tc>
      </w:tr>
      <w:tr>
        <w:trPr>
          <w:cantSplit/>
        </w:trPr>
        <w:tc>
          <w:tcPr>
            <w:tcW w:type="dxa" w:w="1591"/>
            <w:vAlign w:val="center"/>
          </w:tcPr>
          <w:p>
            <w:pPr>
              <w:spacing w:after="40" w:before="40"/>
            </w:pPr>
            <w:r>
              <w:rPr>
                <w:color w:val="183145"/>
                <w:sz w:val="16"/>
              </w:rPr>
              <w:t>Gestão pública e integridade</w:t>
            </w:r>
          </w:p>
        </w:tc>
        <w:tc>
          <w:tcPr>
            <w:tcW w:type="dxa" w:w="1591"/>
            <w:vAlign w:val="center"/>
          </w:tcPr>
          <w:p>
            <w:pPr>
              <w:spacing w:after="40" w:before="40"/>
            </w:pPr>
            <w:r>
              <w:rPr>
                <w:color w:val="183145"/>
                <w:sz w:val="16"/>
              </w:rPr>
              <w:t>0.5</w:t>
            </w:r>
          </w:p>
        </w:tc>
        <w:tc>
          <w:tcPr>
            <w:tcW w:type="dxa" w:w="1591"/>
            <w:vAlign w:val="center"/>
          </w:tcPr>
          <w:p>
            <w:pPr>
              <w:spacing w:after="40" w:before="40"/>
            </w:pPr>
            <w:r>
              <w:rPr>
                <w:color w:val="183145"/>
                <w:sz w:val="16"/>
              </w:rPr>
              <w:t>1</w:t>
            </w:r>
          </w:p>
        </w:tc>
        <w:tc>
          <w:tcPr>
            <w:tcW w:type="dxa" w:w="1591"/>
            <w:vAlign w:val="center"/>
          </w:tcPr>
          <w:p>
            <w:pPr>
              <w:spacing w:after="40" w:before="40"/>
            </w:pPr>
            <w:r>
              <w:rPr>
                <w:color w:val="183145"/>
                <w:sz w:val="16"/>
              </w:rPr>
              <w:t>1</w:t>
            </w:r>
          </w:p>
        </w:tc>
        <w:tc>
          <w:tcPr>
            <w:tcW w:type="dxa" w:w="1591"/>
            <w:vAlign w:val="center"/>
          </w:tcPr>
          <w:p>
            <w:pPr>
              <w:spacing w:after="40" w:before="40"/>
            </w:pPr>
            <w:r>
              <w:rPr>
                <w:color w:val="183145"/>
                <w:sz w:val="16"/>
              </w:rPr>
              <w:t>1</w:t>
            </w:r>
          </w:p>
        </w:tc>
        <w:tc>
          <w:tcPr>
            <w:tcW w:type="dxa" w:w="1591"/>
            <w:vAlign w:val="center"/>
          </w:tcPr>
          <w:p>
            <w:pPr>
              <w:spacing w:after="40" w:before="40"/>
            </w:pPr>
            <w:r>
              <w:rPr>
                <w:color w:val="183145"/>
                <w:sz w:val="16"/>
              </w:rPr>
              <w:t>3.5</w:t>
            </w:r>
          </w:p>
        </w:tc>
      </w:tr>
      <w:tr>
        <w:trPr>
          <w:cantSplit/>
        </w:trPr>
        <w:tc>
          <w:tcPr>
            <w:tcW w:type="dxa" w:w="1591"/>
            <w:vAlign w:val="center"/>
          </w:tcPr>
          <w:p>
            <w:pPr>
              <w:spacing w:after="40" w:before="40"/>
            </w:pPr>
            <w:r>
              <w:rPr>
                <w:color w:val="183145"/>
                <w:sz w:val="16"/>
              </w:rPr>
              <w:t>Transição do trabalhador</w:t>
            </w:r>
          </w:p>
        </w:tc>
        <w:tc>
          <w:tcPr>
            <w:tcW w:type="dxa" w:w="1591"/>
            <w:vAlign w:val="center"/>
          </w:tcPr>
          <w:p>
            <w:pPr>
              <w:spacing w:after="40" w:before="40"/>
            </w:pPr>
            <w:r>
              <w:rPr>
                <w:color w:val="183145"/>
                <w:sz w:val="16"/>
              </w:rPr>
              <w:t>0.5</w:t>
            </w:r>
          </w:p>
        </w:tc>
        <w:tc>
          <w:tcPr>
            <w:tcW w:type="dxa" w:w="1591"/>
            <w:vAlign w:val="center"/>
          </w:tcPr>
          <w:p>
            <w:pPr>
              <w:spacing w:after="40" w:before="40"/>
            </w:pPr>
            <w:r>
              <w:rPr>
                <w:color w:val="183145"/>
                <w:sz w:val="16"/>
              </w:rPr>
              <w:t>1</w:t>
            </w:r>
          </w:p>
        </w:tc>
        <w:tc>
          <w:tcPr>
            <w:tcW w:type="dxa" w:w="1591"/>
            <w:vAlign w:val="center"/>
          </w:tcPr>
          <w:p>
            <w:pPr>
              <w:spacing w:after="40" w:before="40"/>
            </w:pPr>
            <w:r>
              <w:rPr>
                <w:color w:val="183145"/>
                <w:sz w:val="16"/>
              </w:rPr>
              <w:t>1</w:t>
            </w:r>
          </w:p>
        </w:tc>
        <w:tc>
          <w:tcPr>
            <w:tcW w:type="dxa" w:w="1591"/>
            <w:vAlign w:val="center"/>
          </w:tcPr>
          <w:p>
            <w:pPr>
              <w:spacing w:after="40" w:before="40"/>
            </w:pPr>
            <w:r>
              <w:rPr>
                <w:color w:val="183145"/>
                <w:sz w:val="16"/>
              </w:rPr>
              <w:t>1</w:t>
            </w:r>
          </w:p>
        </w:tc>
        <w:tc>
          <w:tcPr>
            <w:tcW w:type="dxa" w:w="1591"/>
            <w:vAlign w:val="center"/>
          </w:tcPr>
          <w:p>
            <w:pPr>
              <w:spacing w:after="40" w:before="40"/>
            </w:pPr>
            <w:r>
              <w:rPr>
                <w:color w:val="183145"/>
                <w:sz w:val="16"/>
              </w:rPr>
              <w:t>3.5</w:t>
            </w:r>
          </w:p>
        </w:tc>
      </w:tr>
      <w:tr>
        <w:trPr>
          <w:cantSplit/>
        </w:trPr>
        <w:tc>
          <w:tcPr>
            <w:tcW w:type="dxa" w:w="1591"/>
            <w:vAlign w:val="center"/>
          </w:tcPr>
          <w:p>
            <w:pPr>
              <w:spacing w:after="40" w:before="40"/>
            </w:pPr>
            <w:r>
              <w:rPr>
                <w:color w:val="183145"/>
                <w:sz w:val="16"/>
              </w:rPr>
              <w:t>TOTAL</w:t>
            </w:r>
          </w:p>
        </w:tc>
        <w:tc>
          <w:tcPr>
            <w:tcW w:type="dxa" w:w="1591"/>
            <w:vAlign w:val="center"/>
          </w:tcPr>
          <w:p>
            <w:pPr>
              <w:spacing w:after="40" w:before="40"/>
            </w:pPr>
            <w:r>
              <w:rPr>
                <w:color w:val="183145"/>
                <w:sz w:val="16"/>
              </w:rPr>
              <w:t>18</w:t>
            </w:r>
          </w:p>
        </w:tc>
        <w:tc>
          <w:tcPr>
            <w:tcW w:type="dxa" w:w="1591"/>
            <w:vAlign w:val="center"/>
          </w:tcPr>
          <w:p>
            <w:pPr>
              <w:spacing w:after="40" w:before="40"/>
            </w:pPr>
            <w:r>
              <w:rPr>
                <w:color w:val="183145"/>
                <w:sz w:val="16"/>
              </w:rPr>
              <w:t>35</w:t>
            </w:r>
          </w:p>
        </w:tc>
        <w:tc>
          <w:tcPr>
            <w:tcW w:type="dxa" w:w="1591"/>
            <w:vAlign w:val="center"/>
          </w:tcPr>
          <w:p>
            <w:pPr>
              <w:spacing w:after="40" w:before="40"/>
            </w:pPr>
            <w:r>
              <w:rPr>
                <w:color w:val="183145"/>
                <w:sz w:val="16"/>
              </w:rPr>
              <w:t>47</w:t>
            </w:r>
          </w:p>
        </w:tc>
        <w:tc>
          <w:tcPr>
            <w:tcW w:type="dxa" w:w="1591"/>
            <w:vAlign w:val="center"/>
          </w:tcPr>
          <w:p>
            <w:pPr>
              <w:spacing w:after="40" w:before="40"/>
            </w:pPr>
            <w:r>
              <w:rPr>
                <w:color w:val="183145"/>
                <w:sz w:val="16"/>
              </w:rPr>
              <w:t>55</w:t>
            </w:r>
          </w:p>
        </w:tc>
        <w:tc>
          <w:tcPr>
            <w:tcW w:type="dxa" w:w="1591"/>
            <w:vAlign w:val="center"/>
          </w:tcPr>
          <w:p>
            <w:pPr>
              <w:spacing w:after="40" w:before="40"/>
            </w:pPr>
            <w:r>
              <w:rPr>
                <w:color w:val="183145"/>
                <w:sz w:val="16"/>
              </w:rPr>
              <w:t>155</w:t>
            </w:r>
          </w:p>
        </w:tc>
      </w:tr>
    </w:tbl>
    <w:p/>
    <w:p>
      <w:pPr>
        <w:pStyle w:val="Heading2"/>
      </w:pPr>
      <w:r>
        <w:t>Compensações e receitas incrementais hipotéticas</w:t>
      </w:r>
    </w:p>
    <w:tbl>
      <w:tblPr>
        <w:tblStyle w:val="TableGrid"/>
        <w:tblW w:type="auto" w:w="0"/>
        <w:jc w:val="center"/>
        <w:tblLook w:firstColumn="1" w:firstRow="1" w:lastColumn="0" w:lastRow="0" w:noHBand="0" w:noVBand="1" w:val="04A0"/>
      </w:tblPr>
      <w:tblGrid>
        <w:gridCol w:w="1591"/>
        <w:gridCol w:w="1591"/>
        <w:gridCol w:w="1591"/>
        <w:gridCol w:w="1591"/>
        <w:gridCol w:w="1591"/>
        <w:gridCol w:w="1591"/>
      </w:tblGrid>
      <w:tr>
        <w:trPr>
          <w:tblHeader w:val="true"/>
          <w:cantSplit/>
        </w:trPr>
        <w:tc>
          <w:tcPr>
            <w:tcW w:type="dxa" w:w="1591"/>
            <w:shd w:fill="183145"/>
          </w:tcPr>
          <w:p>
            <w:r>
              <w:rPr>
                <w:b/>
                <w:color w:val="FFFFFF"/>
                <w:sz w:val="16"/>
              </w:rPr>
              <w:t>Área / fonte</w:t>
            </w:r>
          </w:p>
        </w:tc>
        <w:tc>
          <w:tcPr>
            <w:tcW w:type="dxa" w:w="1591"/>
            <w:shd w:fill="183145"/>
          </w:tcPr>
          <w:p>
            <w:r>
              <w:rPr>
                <w:b/>
                <w:color w:val="FFFFFF"/>
                <w:sz w:val="16"/>
              </w:rPr>
              <w:t>2027</w:t>
            </w:r>
          </w:p>
        </w:tc>
        <w:tc>
          <w:tcPr>
            <w:tcW w:type="dxa" w:w="1591"/>
            <w:shd w:fill="183145"/>
          </w:tcPr>
          <w:p>
            <w:r>
              <w:rPr>
                <w:b/>
                <w:color w:val="FFFFFF"/>
                <w:sz w:val="16"/>
              </w:rPr>
              <w:t>2028</w:t>
            </w:r>
          </w:p>
        </w:tc>
        <w:tc>
          <w:tcPr>
            <w:tcW w:type="dxa" w:w="1591"/>
            <w:shd w:fill="183145"/>
          </w:tcPr>
          <w:p>
            <w:r>
              <w:rPr>
                <w:b/>
                <w:color w:val="FFFFFF"/>
                <w:sz w:val="16"/>
              </w:rPr>
              <w:t>2029</w:t>
            </w:r>
          </w:p>
        </w:tc>
        <w:tc>
          <w:tcPr>
            <w:tcW w:type="dxa" w:w="1591"/>
            <w:shd w:fill="183145"/>
          </w:tcPr>
          <w:p>
            <w:r>
              <w:rPr>
                <w:b/>
                <w:color w:val="FFFFFF"/>
                <w:sz w:val="16"/>
              </w:rPr>
              <w:t>2030</w:t>
            </w:r>
          </w:p>
        </w:tc>
        <w:tc>
          <w:tcPr>
            <w:tcW w:type="dxa" w:w="1591"/>
            <w:shd w:fill="183145"/>
          </w:tcPr>
          <w:p>
            <w:r>
              <w:rPr>
                <w:b/>
                <w:color w:val="FFFFFF"/>
                <w:sz w:val="16"/>
              </w:rPr>
              <w:t>2027–30</w:t>
            </w:r>
          </w:p>
        </w:tc>
      </w:tr>
      <w:tr>
        <w:trPr>
          <w:cantSplit/>
        </w:trPr>
        <w:tc>
          <w:tcPr>
            <w:tcW w:type="dxa" w:w="1591"/>
            <w:vAlign w:val="center"/>
          </w:tcPr>
          <w:p>
            <w:pPr>
              <w:spacing w:after="40" w:before="40"/>
            </w:pPr>
            <w:r>
              <w:rPr>
                <w:color w:val="183145"/>
                <w:sz w:val="16"/>
              </w:rPr>
              <w:t>Revisão de renúncias e benefícios ineficientes</w:t>
            </w:r>
          </w:p>
        </w:tc>
        <w:tc>
          <w:tcPr>
            <w:tcW w:type="dxa" w:w="1591"/>
            <w:vAlign w:val="center"/>
          </w:tcPr>
          <w:p>
            <w:pPr>
              <w:spacing w:after="40" w:before="40"/>
            </w:pPr>
            <w:r>
              <w:rPr>
                <w:color w:val="183145"/>
                <w:sz w:val="16"/>
              </w:rPr>
              <w:t>7</w:t>
            </w:r>
          </w:p>
        </w:tc>
        <w:tc>
          <w:tcPr>
            <w:tcW w:type="dxa" w:w="1591"/>
            <w:vAlign w:val="center"/>
          </w:tcPr>
          <w:p>
            <w:pPr>
              <w:spacing w:after="40" w:before="40"/>
            </w:pPr>
            <w:r>
              <w:rPr>
                <w:color w:val="183145"/>
                <w:sz w:val="16"/>
              </w:rPr>
              <w:t>15</w:t>
            </w:r>
          </w:p>
        </w:tc>
        <w:tc>
          <w:tcPr>
            <w:tcW w:type="dxa" w:w="1591"/>
            <w:vAlign w:val="center"/>
          </w:tcPr>
          <w:p>
            <w:pPr>
              <w:spacing w:after="40" w:before="40"/>
            </w:pPr>
            <w:r>
              <w:rPr>
                <w:color w:val="183145"/>
                <w:sz w:val="16"/>
              </w:rPr>
              <w:t>19</w:t>
            </w:r>
          </w:p>
        </w:tc>
        <w:tc>
          <w:tcPr>
            <w:tcW w:type="dxa" w:w="1591"/>
            <w:vAlign w:val="center"/>
          </w:tcPr>
          <w:p>
            <w:pPr>
              <w:spacing w:after="40" w:before="40"/>
            </w:pPr>
            <w:r>
              <w:rPr>
                <w:color w:val="183145"/>
                <w:sz w:val="16"/>
              </w:rPr>
              <w:t>24</w:t>
            </w:r>
          </w:p>
        </w:tc>
        <w:tc>
          <w:tcPr>
            <w:tcW w:type="dxa" w:w="1591"/>
            <w:vAlign w:val="center"/>
          </w:tcPr>
          <w:p>
            <w:pPr>
              <w:spacing w:after="40" w:before="40"/>
            </w:pPr>
            <w:r>
              <w:rPr>
                <w:color w:val="183145"/>
                <w:sz w:val="16"/>
              </w:rPr>
              <w:t>65</w:t>
            </w:r>
          </w:p>
        </w:tc>
      </w:tr>
      <w:tr>
        <w:trPr>
          <w:cantSplit/>
        </w:trPr>
        <w:tc>
          <w:tcPr>
            <w:tcW w:type="dxa" w:w="1591"/>
            <w:vAlign w:val="center"/>
          </w:tcPr>
          <w:p>
            <w:pPr>
              <w:spacing w:after="40" w:before="40"/>
            </w:pPr>
            <w:r>
              <w:rPr>
                <w:color w:val="183145"/>
                <w:sz w:val="16"/>
              </w:rPr>
              <w:t>Compras e despesas de menor prioridade</w:t>
            </w:r>
          </w:p>
        </w:tc>
        <w:tc>
          <w:tcPr>
            <w:tcW w:type="dxa" w:w="1591"/>
            <w:vAlign w:val="center"/>
          </w:tcPr>
          <w:p>
            <w:pPr>
              <w:spacing w:after="40" w:before="40"/>
            </w:pPr>
            <w:r>
              <w:rPr>
                <w:color w:val="183145"/>
                <w:sz w:val="16"/>
              </w:rPr>
              <w:t>4</w:t>
            </w:r>
          </w:p>
        </w:tc>
        <w:tc>
          <w:tcPr>
            <w:tcW w:type="dxa" w:w="1591"/>
            <w:vAlign w:val="center"/>
          </w:tcPr>
          <w:p>
            <w:pPr>
              <w:spacing w:after="40" w:before="40"/>
            </w:pPr>
            <w:r>
              <w:rPr>
                <w:color w:val="183145"/>
                <w:sz w:val="16"/>
              </w:rPr>
              <w:t>7</w:t>
            </w:r>
          </w:p>
        </w:tc>
        <w:tc>
          <w:tcPr>
            <w:tcW w:type="dxa" w:w="1591"/>
            <w:vAlign w:val="center"/>
          </w:tcPr>
          <w:p>
            <w:pPr>
              <w:spacing w:after="40" w:before="40"/>
            </w:pPr>
            <w:r>
              <w:rPr>
                <w:color w:val="183145"/>
                <w:sz w:val="16"/>
              </w:rPr>
              <w:t>10</w:t>
            </w:r>
          </w:p>
        </w:tc>
        <w:tc>
          <w:tcPr>
            <w:tcW w:type="dxa" w:w="1591"/>
            <w:vAlign w:val="center"/>
          </w:tcPr>
          <w:p>
            <w:pPr>
              <w:spacing w:after="40" w:before="40"/>
            </w:pPr>
            <w:r>
              <w:rPr>
                <w:color w:val="183145"/>
                <w:sz w:val="16"/>
              </w:rPr>
              <w:t>12</w:t>
            </w:r>
          </w:p>
        </w:tc>
        <w:tc>
          <w:tcPr>
            <w:tcW w:type="dxa" w:w="1591"/>
            <w:vAlign w:val="center"/>
          </w:tcPr>
          <w:p>
            <w:pPr>
              <w:spacing w:after="40" w:before="40"/>
            </w:pPr>
            <w:r>
              <w:rPr>
                <w:color w:val="183145"/>
                <w:sz w:val="16"/>
              </w:rPr>
              <w:t>33</w:t>
            </w:r>
          </w:p>
        </w:tc>
      </w:tr>
      <w:tr>
        <w:trPr>
          <w:cantSplit/>
        </w:trPr>
        <w:tc>
          <w:tcPr>
            <w:tcW w:type="dxa" w:w="1591"/>
            <w:vAlign w:val="center"/>
          </w:tcPr>
          <w:p>
            <w:pPr>
              <w:spacing w:after="40" w:before="40"/>
            </w:pPr>
            <w:r>
              <w:rPr>
                <w:color w:val="183145"/>
                <w:sz w:val="16"/>
              </w:rPr>
              <w:t>Tributação compensatória progressiva (lei)</w:t>
            </w:r>
          </w:p>
        </w:tc>
        <w:tc>
          <w:tcPr>
            <w:tcW w:type="dxa" w:w="1591"/>
            <w:vAlign w:val="center"/>
          </w:tcPr>
          <w:p>
            <w:pPr>
              <w:spacing w:after="40" w:before="40"/>
            </w:pPr>
            <w:r>
              <w:rPr>
                <w:color w:val="183145"/>
                <w:sz w:val="16"/>
              </w:rPr>
              <w:t>5</w:t>
            </w:r>
          </w:p>
        </w:tc>
        <w:tc>
          <w:tcPr>
            <w:tcW w:type="dxa" w:w="1591"/>
            <w:vAlign w:val="center"/>
          </w:tcPr>
          <w:p>
            <w:pPr>
              <w:spacing w:after="40" w:before="40"/>
            </w:pPr>
            <w:r>
              <w:rPr>
                <w:color w:val="183145"/>
                <w:sz w:val="16"/>
              </w:rPr>
              <w:t>9</w:t>
            </w:r>
          </w:p>
        </w:tc>
        <w:tc>
          <w:tcPr>
            <w:tcW w:type="dxa" w:w="1591"/>
            <w:vAlign w:val="center"/>
          </w:tcPr>
          <w:p>
            <w:pPr>
              <w:spacing w:after="40" w:before="40"/>
            </w:pPr>
            <w:r>
              <w:rPr>
                <w:color w:val="183145"/>
                <w:sz w:val="16"/>
              </w:rPr>
              <w:t>12</w:t>
            </w:r>
          </w:p>
        </w:tc>
        <w:tc>
          <w:tcPr>
            <w:tcW w:type="dxa" w:w="1591"/>
            <w:vAlign w:val="center"/>
          </w:tcPr>
          <w:p>
            <w:pPr>
              <w:spacing w:after="40" w:before="40"/>
            </w:pPr>
            <w:r>
              <w:rPr>
                <w:color w:val="183145"/>
                <w:sz w:val="16"/>
              </w:rPr>
              <w:t>15</w:t>
            </w:r>
          </w:p>
        </w:tc>
        <w:tc>
          <w:tcPr>
            <w:tcW w:type="dxa" w:w="1591"/>
            <w:vAlign w:val="center"/>
          </w:tcPr>
          <w:p>
            <w:pPr>
              <w:spacing w:after="40" w:before="40"/>
            </w:pPr>
            <w:r>
              <w:rPr>
                <w:color w:val="183145"/>
                <w:sz w:val="16"/>
              </w:rPr>
              <w:t>41</w:t>
            </w:r>
          </w:p>
        </w:tc>
      </w:tr>
      <w:tr>
        <w:trPr>
          <w:cantSplit/>
        </w:trPr>
        <w:tc>
          <w:tcPr>
            <w:tcW w:type="dxa" w:w="1591"/>
            <w:vAlign w:val="center"/>
          </w:tcPr>
          <w:p>
            <w:pPr>
              <w:spacing w:after="40" w:before="40"/>
            </w:pPr>
            <w:r>
              <w:rPr>
                <w:color w:val="183145"/>
                <w:sz w:val="16"/>
              </w:rPr>
              <w:t>Conformidade e cobrança contra fraude/contencioso</w:t>
            </w:r>
          </w:p>
        </w:tc>
        <w:tc>
          <w:tcPr>
            <w:tcW w:type="dxa" w:w="1591"/>
            <w:vAlign w:val="center"/>
          </w:tcPr>
          <w:p>
            <w:pPr>
              <w:spacing w:after="40" w:before="40"/>
            </w:pPr>
            <w:r>
              <w:rPr>
                <w:color w:val="183145"/>
                <w:sz w:val="16"/>
              </w:rPr>
              <w:t>4</w:t>
            </w:r>
          </w:p>
        </w:tc>
        <w:tc>
          <w:tcPr>
            <w:tcW w:type="dxa" w:w="1591"/>
            <w:vAlign w:val="center"/>
          </w:tcPr>
          <w:p>
            <w:pPr>
              <w:spacing w:after="40" w:before="40"/>
            </w:pPr>
            <w:r>
              <w:rPr>
                <w:color w:val="183145"/>
                <w:sz w:val="16"/>
              </w:rPr>
              <w:t>10</w:t>
            </w:r>
          </w:p>
        </w:tc>
        <w:tc>
          <w:tcPr>
            <w:tcW w:type="dxa" w:w="1591"/>
            <w:vAlign w:val="center"/>
          </w:tcPr>
          <w:p>
            <w:pPr>
              <w:spacing w:after="40" w:before="40"/>
            </w:pPr>
            <w:r>
              <w:rPr>
                <w:color w:val="183145"/>
                <w:sz w:val="16"/>
              </w:rPr>
              <w:t>14</w:t>
            </w:r>
          </w:p>
        </w:tc>
        <w:tc>
          <w:tcPr>
            <w:tcW w:type="dxa" w:w="1591"/>
            <w:vAlign w:val="center"/>
          </w:tcPr>
          <w:p>
            <w:pPr>
              <w:spacing w:after="40" w:before="40"/>
            </w:pPr>
            <w:r>
              <w:rPr>
                <w:color w:val="183145"/>
                <w:sz w:val="16"/>
              </w:rPr>
              <w:t>14</w:t>
            </w:r>
          </w:p>
        </w:tc>
        <w:tc>
          <w:tcPr>
            <w:tcW w:type="dxa" w:w="1591"/>
            <w:vAlign w:val="center"/>
          </w:tcPr>
          <w:p>
            <w:pPr>
              <w:spacing w:after="40" w:before="40"/>
            </w:pPr>
            <w:r>
              <w:rPr>
                <w:color w:val="183145"/>
                <w:sz w:val="16"/>
              </w:rPr>
              <w:t>42</w:t>
            </w:r>
          </w:p>
        </w:tc>
      </w:tr>
      <w:tr>
        <w:trPr>
          <w:cantSplit/>
        </w:trPr>
        <w:tc>
          <w:tcPr>
            <w:tcW w:type="dxa" w:w="1591"/>
            <w:vAlign w:val="center"/>
          </w:tcPr>
          <w:p>
            <w:pPr>
              <w:spacing w:after="40" w:before="40"/>
            </w:pPr>
            <w:r>
              <w:rPr>
                <w:color w:val="183145"/>
                <w:sz w:val="16"/>
              </w:rPr>
              <w:t>TOTAL</w:t>
            </w:r>
          </w:p>
        </w:tc>
        <w:tc>
          <w:tcPr>
            <w:tcW w:type="dxa" w:w="1591"/>
            <w:vAlign w:val="center"/>
          </w:tcPr>
          <w:p>
            <w:pPr>
              <w:spacing w:after="40" w:before="40"/>
            </w:pPr>
            <w:r>
              <w:rPr>
                <w:color w:val="183145"/>
                <w:sz w:val="16"/>
              </w:rPr>
              <w:t>20</w:t>
            </w:r>
          </w:p>
        </w:tc>
        <w:tc>
          <w:tcPr>
            <w:tcW w:type="dxa" w:w="1591"/>
            <w:vAlign w:val="center"/>
          </w:tcPr>
          <w:p>
            <w:pPr>
              <w:spacing w:after="40" w:before="40"/>
            </w:pPr>
            <w:r>
              <w:rPr>
                <w:color w:val="183145"/>
                <w:sz w:val="16"/>
              </w:rPr>
              <w:t>41</w:t>
            </w:r>
          </w:p>
        </w:tc>
        <w:tc>
          <w:tcPr>
            <w:tcW w:type="dxa" w:w="1591"/>
            <w:vAlign w:val="center"/>
          </w:tcPr>
          <w:p>
            <w:pPr>
              <w:spacing w:after="40" w:before="40"/>
            </w:pPr>
            <w:r>
              <w:rPr>
                <w:color w:val="183145"/>
                <w:sz w:val="16"/>
              </w:rPr>
              <w:t>55</w:t>
            </w:r>
          </w:p>
        </w:tc>
        <w:tc>
          <w:tcPr>
            <w:tcW w:type="dxa" w:w="1591"/>
            <w:vAlign w:val="center"/>
          </w:tcPr>
          <w:p>
            <w:pPr>
              <w:spacing w:after="40" w:before="40"/>
            </w:pPr>
            <w:r>
              <w:rPr>
                <w:color w:val="183145"/>
                <w:sz w:val="16"/>
              </w:rPr>
              <w:t>65</w:t>
            </w:r>
          </w:p>
        </w:tc>
        <w:tc>
          <w:tcPr>
            <w:tcW w:type="dxa" w:w="1591"/>
            <w:vAlign w:val="center"/>
          </w:tcPr>
          <w:p>
            <w:pPr>
              <w:spacing w:after="40" w:before="40"/>
            </w:pPr>
            <w:r>
              <w:rPr>
                <w:color w:val="183145"/>
                <w:sz w:val="16"/>
              </w:rPr>
              <w:t>181</w:t>
            </w:r>
          </w:p>
        </w:tc>
      </w:tr>
    </w:tbl>
    <w:p/>
    <w:tbl>
      <w:tblPr>
        <w:tblStyle w:val="TableGrid"/>
        <w:tblW w:type="auto" w:w="0"/>
        <w:jc w:val="center"/>
        <w:tblLook w:firstColumn="1" w:firstRow="1" w:lastColumn="0" w:lastRow="0" w:noHBand="0" w:noVBand="1" w:val="04A0"/>
      </w:tblPr>
      <w:tblGrid>
        <w:gridCol w:w="1909"/>
        <w:gridCol w:w="1909"/>
        <w:gridCol w:w="1909"/>
        <w:gridCol w:w="1909"/>
        <w:gridCol w:w="1909"/>
      </w:tblGrid>
      <w:tr>
        <w:trPr>
          <w:tblHeader w:val="true"/>
          <w:cantSplit/>
        </w:trPr>
        <w:tc>
          <w:tcPr>
            <w:tcW w:type="dxa" w:w="1909"/>
            <w:shd w:fill="183145"/>
          </w:tcPr>
          <w:p>
            <w:r>
              <w:rPr>
                <w:b/>
                <w:color w:val="FFFFFF"/>
                <w:sz w:val="16"/>
              </w:rPr>
              <w:t>Ano</w:t>
            </w:r>
          </w:p>
        </w:tc>
        <w:tc>
          <w:tcPr>
            <w:tcW w:type="dxa" w:w="1909"/>
            <w:shd w:fill="183145"/>
          </w:tcPr>
          <w:p>
            <w:r>
              <w:rPr>
                <w:b/>
                <w:color w:val="FFFFFF"/>
                <w:sz w:val="16"/>
              </w:rPr>
              <w:t>Nova despesa</w:t>
            </w:r>
          </w:p>
        </w:tc>
        <w:tc>
          <w:tcPr>
            <w:tcW w:type="dxa" w:w="1909"/>
            <w:shd w:fill="183145"/>
          </w:tcPr>
          <w:p>
            <w:r>
              <w:rPr>
                <w:b/>
                <w:color w:val="FFFFFF"/>
                <w:sz w:val="16"/>
              </w:rPr>
              <w:t>Offsets projetados</w:t>
            </w:r>
          </w:p>
        </w:tc>
        <w:tc>
          <w:tcPr>
            <w:tcW w:type="dxa" w:w="1909"/>
            <w:shd w:fill="183145"/>
          </w:tcPr>
          <w:p>
            <w:r>
              <w:rPr>
                <w:b/>
                <w:color w:val="FFFFFF"/>
                <w:sz w:val="16"/>
              </w:rPr>
              <w:t>Folga nominal da proposta</w:t>
            </w:r>
          </w:p>
        </w:tc>
        <w:tc>
          <w:tcPr>
            <w:tcW w:type="dxa" w:w="1909"/>
            <w:shd w:fill="183145"/>
          </w:tcPr>
          <w:p>
            <w:r>
              <w:rPr>
                <w:b/>
                <w:color w:val="FFFFFF"/>
                <w:sz w:val="16"/>
              </w:rPr>
              <w:t>Condição</w:t>
            </w:r>
          </w:p>
        </w:tc>
      </w:tr>
      <w:tr>
        <w:trPr>
          <w:cantSplit/>
        </w:trPr>
        <w:tc>
          <w:tcPr>
            <w:tcW w:type="dxa" w:w="1909"/>
            <w:vAlign w:val="center"/>
          </w:tcPr>
          <w:p>
            <w:pPr>
              <w:spacing w:after="40" w:before="40"/>
            </w:pPr>
            <w:r>
              <w:rPr>
                <w:color w:val="183145"/>
                <w:sz w:val="16"/>
              </w:rPr>
              <w:t>2027</w:t>
            </w:r>
          </w:p>
        </w:tc>
        <w:tc>
          <w:tcPr>
            <w:tcW w:type="dxa" w:w="1909"/>
            <w:vAlign w:val="center"/>
          </w:tcPr>
          <w:p>
            <w:pPr>
              <w:spacing w:after="40" w:before="40"/>
            </w:pPr>
            <w:r>
              <w:rPr>
                <w:color w:val="183145"/>
                <w:sz w:val="16"/>
              </w:rPr>
              <w:t>18</w:t>
            </w:r>
          </w:p>
        </w:tc>
        <w:tc>
          <w:tcPr>
            <w:tcW w:type="dxa" w:w="1909"/>
            <w:vAlign w:val="center"/>
          </w:tcPr>
          <w:p>
            <w:pPr>
              <w:spacing w:after="40" w:before="40"/>
            </w:pPr>
            <w:r>
              <w:rPr>
                <w:color w:val="183145"/>
                <w:sz w:val="16"/>
              </w:rPr>
              <w:t>20</w:t>
            </w:r>
          </w:p>
        </w:tc>
        <w:tc>
          <w:tcPr>
            <w:tcW w:type="dxa" w:w="1909"/>
            <w:vAlign w:val="center"/>
          </w:tcPr>
          <w:p>
            <w:pPr>
              <w:spacing w:after="40" w:before="40"/>
            </w:pPr>
            <w:r>
              <w:rPr>
                <w:color w:val="183145"/>
                <w:sz w:val="16"/>
              </w:rPr>
              <w:t>+2</w:t>
            </w:r>
          </w:p>
        </w:tc>
        <w:tc>
          <w:tcPr>
            <w:tcW w:type="dxa" w:w="1909"/>
            <w:vAlign w:val="center"/>
          </w:tcPr>
          <w:p>
            <w:pPr>
              <w:spacing w:after="40" w:before="40"/>
            </w:pPr>
            <w:r>
              <w:rPr>
                <w:color w:val="183145"/>
                <w:sz w:val="16"/>
              </w:rPr>
              <w:t>Medidas legais/LOA e custeios elegíveis</w:t>
            </w:r>
          </w:p>
        </w:tc>
      </w:tr>
      <w:tr>
        <w:trPr>
          <w:cantSplit/>
        </w:trPr>
        <w:tc>
          <w:tcPr>
            <w:tcW w:type="dxa" w:w="1909"/>
            <w:vAlign w:val="center"/>
          </w:tcPr>
          <w:p>
            <w:pPr>
              <w:spacing w:after="40" w:before="40"/>
            </w:pPr>
            <w:r>
              <w:rPr>
                <w:color w:val="183145"/>
                <w:sz w:val="16"/>
              </w:rPr>
              <w:t>2028</w:t>
            </w:r>
          </w:p>
        </w:tc>
        <w:tc>
          <w:tcPr>
            <w:tcW w:type="dxa" w:w="1909"/>
            <w:vAlign w:val="center"/>
          </w:tcPr>
          <w:p>
            <w:pPr>
              <w:spacing w:after="40" w:before="40"/>
            </w:pPr>
            <w:r>
              <w:rPr>
                <w:color w:val="183145"/>
                <w:sz w:val="16"/>
              </w:rPr>
              <w:t>35</w:t>
            </w:r>
          </w:p>
        </w:tc>
        <w:tc>
          <w:tcPr>
            <w:tcW w:type="dxa" w:w="1909"/>
            <w:vAlign w:val="center"/>
          </w:tcPr>
          <w:p>
            <w:pPr>
              <w:spacing w:after="40" w:before="40"/>
            </w:pPr>
            <w:r>
              <w:rPr>
                <w:color w:val="183145"/>
                <w:sz w:val="16"/>
              </w:rPr>
              <w:t>41</w:t>
            </w:r>
          </w:p>
        </w:tc>
        <w:tc>
          <w:tcPr>
            <w:tcW w:type="dxa" w:w="1909"/>
            <w:vAlign w:val="center"/>
          </w:tcPr>
          <w:p>
            <w:pPr>
              <w:spacing w:after="40" w:before="40"/>
            </w:pPr>
            <w:r>
              <w:rPr>
                <w:color w:val="183145"/>
                <w:sz w:val="16"/>
              </w:rPr>
              <w:t>+6</w:t>
            </w:r>
          </w:p>
        </w:tc>
        <w:tc>
          <w:tcPr>
            <w:tcW w:type="dxa" w:w="1909"/>
            <w:vAlign w:val="center"/>
          </w:tcPr>
          <w:p>
            <w:pPr>
              <w:spacing w:after="40" w:before="40"/>
            </w:pPr>
            <w:r>
              <w:rPr>
                <w:color w:val="183145"/>
                <w:sz w:val="16"/>
              </w:rPr>
              <w:t>Revisão e expansão condicional</w:t>
            </w:r>
          </w:p>
        </w:tc>
      </w:tr>
      <w:tr>
        <w:trPr>
          <w:cantSplit/>
        </w:trPr>
        <w:tc>
          <w:tcPr>
            <w:tcW w:type="dxa" w:w="1909"/>
            <w:vAlign w:val="center"/>
          </w:tcPr>
          <w:p>
            <w:pPr>
              <w:spacing w:after="40" w:before="40"/>
            </w:pPr>
            <w:r>
              <w:rPr>
                <w:color w:val="183145"/>
                <w:sz w:val="16"/>
              </w:rPr>
              <w:t>2029</w:t>
            </w:r>
          </w:p>
        </w:tc>
        <w:tc>
          <w:tcPr>
            <w:tcW w:type="dxa" w:w="1909"/>
            <w:vAlign w:val="center"/>
          </w:tcPr>
          <w:p>
            <w:pPr>
              <w:spacing w:after="40" w:before="40"/>
            </w:pPr>
            <w:r>
              <w:rPr>
                <w:color w:val="183145"/>
                <w:sz w:val="16"/>
              </w:rPr>
              <w:t>47</w:t>
            </w:r>
          </w:p>
        </w:tc>
        <w:tc>
          <w:tcPr>
            <w:tcW w:type="dxa" w:w="1909"/>
            <w:vAlign w:val="center"/>
          </w:tcPr>
          <w:p>
            <w:pPr>
              <w:spacing w:after="40" w:before="40"/>
            </w:pPr>
            <w:r>
              <w:rPr>
                <w:color w:val="183145"/>
                <w:sz w:val="16"/>
              </w:rPr>
              <w:t>55</w:t>
            </w:r>
          </w:p>
        </w:tc>
        <w:tc>
          <w:tcPr>
            <w:tcW w:type="dxa" w:w="1909"/>
            <w:vAlign w:val="center"/>
          </w:tcPr>
          <w:p>
            <w:pPr>
              <w:spacing w:after="40" w:before="40"/>
            </w:pPr>
            <w:r>
              <w:rPr>
                <w:color w:val="183145"/>
                <w:sz w:val="16"/>
              </w:rPr>
              <w:t>+8</w:t>
            </w:r>
          </w:p>
        </w:tc>
        <w:tc>
          <w:tcPr>
            <w:tcW w:type="dxa" w:w="1909"/>
            <w:vAlign w:val="center"/>
          </w:tcPr>
          <w:p>
            <w:pPr>
              <w:spacing w:after="40" w:before="40"/>
            </w:pPr>
            <w:r>
              <w:rPr>
                <w:color w:val="183145"/>
                <w:sz w:val="16"/>
              </w:rPr>
              <w:t>Metas intermediárias e auditoria</w:t>
            </w:r>
          </w:p>
        </w:tc>
      </w:tr>
      <w:tr>
        <w:trPr>
          <w:cantSplit/>
        </w:trPr>
        <w:tc>
          <w:tcPr>
            <w:tcW w:type="dxa" w:w="1909"/>
            <w:vAlign w:val="center"/>
          </w:tcPr>
          <w:p>
            <w:pPr>
              <w:spacing w:after="40" w:before="40"/>
            </w:pPr>
            <w:r>
              <w:rPr>
                <w:color w:val="183145"/>
                <w:sz w:val="16"/>
              </w:rPr>
              <w:t>2030</w:t>
            </w:r>
          </w:p>
        </w:tc>
        <w:tc>
          <w:tcPr>
            <w:tcW w:type="dxa" w:w="1909"/>
            <w:vAlign w:val="center"/>
          </w:tcPr>
          <w:p>
            <w:pPr>
              <w:spacing w:after="40" w:before="40"/>
            </w:pPr>
            <w:r>
              <w:rPr>
                <w:color w:val="183145"/>
                <w:sz w:val="16"/>
              </w:rPr>
              <w:t>55</w:t>
            </w:r>
          </w:p>
        </w:tc>
        <w:tc>
          <w:tcPr>
            <w:tcW w:type="dxa" w:w="1909"/>
            <w:vAlign w:val="center"/>
          </w:tcPr>
          <w:p>
            <w:pPr>
              <w:spacing w:after="40" w:before="40"/>
            </w:pPr>
            <w:r>
              <w:rPr>
                <w:color w:val="183145"/>
                <w:sz w:val="16"/>
              </w:rPr>
              <w:t>65</w:t>
            </w:r>
          </w:p>
        </w:tc>
        <w:tc>
          <w:tcPr>
            <w:tcW w:type="dxa" w:w="1909"/>
            <w:vAlign w:val="center"/>
          </w:tcPr>
          <w:p>
            <w:pPr>
              <w:spacing w:after="40" w:before="40"/>
            </w:pPr>
            <w:r>
              <w:rPr>
                <w:color w:val="183145"/>
                <w:sz w:val="16"/>
              </w:rPr>
              <w:t>+10</w:t>
            </w:r>
          </w:p>
        </w:tc>
        <w:tc>
          <w:tcPr>
            <w:tcW w:type="dxa" w:w="1909"/>
            <w:vAlign w:val="center"/>
          </w:tcPr>
          <w:p>
            <w:pPr>
              <w:spacing w:after="40" w:before="40"/>
            </w:pPr>
            <w:r>
              <w:rPr>
                <w:color w:val="183145"/>
                <w:sz w:val="16"/>
              </w:rPr>
              <w:t>Despesas permanentes com fonte recorrente</w:t>
            </w:r>
          </w:p>
        </w:tc>
      </w:tr>
      <w:tr>
        <w:trPr>
          <w:cantSplit/>
        </w:trPr>
        <w:tc>
          <w:tcPr>
            <w:tcW w:type="dxa" w:w="1909"/>
            <w:vAlign w:val="center"/>
          </w:tcPr>
          <w:p>
            <w:pPr>
              <w:spacing w:after="40" w:before="40"/>
            </w:pPr>
            <w:r>
              <w:rPr>
                <w:color w:val="183145"/>
                <w:sz w:val="16"/>
              </w:rPr>
              <w:t>TOTAL</w:t>
            </w:r>
          </w:p>
        </w:tc>
        <w:tc>
          <w:tcPr>
            <w:tcW w:type="dxa" w:w="1909"/>
            <w:vAlign w:val="center"/>
          </w:tcPr>
          <w:p>
            <w:pPr>
              <w:spacing w:after="40" w:before="40"/>
            </w:pPr>
            <w:r>
              <w:rPr>
                <w:color w:val="183145"/>
                <w:sz w:val="16"/>
              </w:rPr>
              <w:t>155</w:t>
            </w:r>
          </w:p>
        </w:tc>
        <w:tc>
          <w:tcPr>
            <w:tcW w:type="dxa" w:w="1909"/>
            <w:vAlign w:val="center"/>
          </w:tcPr>
          <w:p>
            <w:pPr>
              <w:spacing w:after="40" w:before="40"/>
            </w:pPr>
            <w:r>
              <w:rPr>
                <w:color w:val="183145"/>
                <w:sz w:val="16"/>
              </w:rPr>
              <w:t>181</w:t>
            </w:r>
          </w:p>
        </w:tc>
        <w:tc>
          <w:tcPr>
            <w:tcW w:type="dxa" w:w="1909"/>
            <w:vAlign w:val="center"/>
          </w:tcPr>
          <w:p>
            <w:pPr>
              <w:spacing w:after="40" w:before="40"/>
            </w:pPr>
            <w:r>
              <w:rPr>
                <w:color w:val="183145"/>
                <w:sz w:val="16"/>
              </w:rPr>
              <w:t>+26</w:t>
            </w:r>
          </w:p>
        </w:tc>
        <w:tc>
          <w:tcPr>
            <w:tcW w:type="dxa" w:w="1909"/>
            <w:vAlign w:val="center"/>
          </w:tcPr>
          <w:p>
            <w:pPr>
              <w:spacing w:after="40" w:before="40"/>
            </w:pPr>
            <w:r>
              <w:rPr>
                <w:color w:val="183145"/>
                <w:sz w:val="16"/>
              </w:rPr>
              <w:t>Não equivale a previsão fiscal do governo geral</w:t>
            </w:r>
          </w:p>
        </w:tc>
      </w:tr>
    </w:tbl>
    <w:p/>
    <w:p>
      <w:r>
        <w:t>Interpretação correta: R$ 155 bilhões seriam o máximo teórico de novos dispêndios federais ao longo de quatro exercícios, DESDE QUE aprovados. As medidas de compensação projetam R$ 181 bilhões até 2030 e incluem novas receitas tributárias, não apenas cortes. A aparente folga de R$ 26 bilhões é reserva programática sujeita a risco; não se reconhece valor antes da arrecadação. Montantes reais seriam atualizados anualmente por inflação/LOA e todas as tabelas teriam memória de cálculo refinada na transição 2026–2027. Não há dinheiro “livre” prometido a municípios sem contrapartidas.</w:t>
      </w:r>
    </w:p>
    <w:p>
      <w:pPr>
        <w:pStyle w:val="Heading1"/>
      </w:pPr>
      <w:r>
        <w:t>3. Hipóteses macroeconômicas e riscos fiscais</w:t>
      </w:r>
    </w:p>
    <w:tbl>
      <w:tblPr>
        <w:tblStyle w:val="TableGrid"/>
        <w:tblW w:type="auto" w:w="0"/>
        <w:jc w:val="center"/>
        <w:tblLook w:firstColumn="1" w:firstRow="1" w:lastColumn="0" w:lastRow="0" w:noHBand="0" w:noVBand="1" w:val="04A0"/>
      </w:tblPr>
      <w:tblGrid>
        <w:gridCol w:w="1909"/>
        <w:gridCol w:w="1909"/>
        <w:gridCol w:w="1909"/>
        <w:gridCol w:w="1909"/>
        <w:gridCol w:w="1909"/>
      </w:tblGrid>
      <w:tr>
        <w:trPr>
          <w:tblHeader w:val="true"/>
          <w:cantSplit/>
        </w:trPr>
        <w:tc>
          <w:tcPr>
            <w:tcW w:type="dxa" w:w="1909"/>
            <w:shd w:fill="183145"/>
          </w:tcPr>
          <w:p>
            <w:r>
              <w:rPr>
                <w:b/>
                <w:color w:val="FFFFFF"/>
                <w:sz w:val="14"/>
              </w:rPr>
              <w:t>Cenário 2027–30</w:t>
            </w:r>
          </w:p>
        </w:tc>
        <w:tc>
          <w:tcPr>
            <w:tcW w:type="dxa" w:w="1909"/>
            <w:shd w:fill="183145"/>
          </w:tcPr>
          <w:p>
            <w:r>
              <w:rPr>
                <w:b/>
                <w:color w:val="FFFFFF"/>
                <w:sz w:val="14"/>
              </w:rPr>
              <w:t>Atividade: HIPÓTESE</w:t>
            </w:r>
          </w:p>
        </w:tc>
        <w:tc>
          <w:tcPr>
            <w:tcW w:type="dxa" w:w="1909"/>
            <w:shd w:fill="183145"/>
          </w:tcPr>
          <w:p>
            <w:r>
              <w:rPr>
                <w:b/>
                <w:color w:val="FFFFFF"/>
                <w:sz w:val="14"/>
              </w:rPr>
              <w:t>Inflação / juros: HIPÓTESE</w:t>
            </w:r>
          </w:p>
        </w:tc>
        <w:tc>
          <w:tcPr>
            <w:tcW w:type="dxa" w:w="1909"/>
            <w:shd w:fill="183145"/>
          </w:tcPr>
          <w:p>
            <w:r>
              <w:rPr>
                <w:b/>
                <w:color w:val="FFFFFF"/>
                <w:sz w:val="14"/>
              </w:rPr>
              <w:t>Offsets</w:t>
            </w:r>
          </w:p>
        </w:tc>
        <w:tc>
          <w:tcPr>
            <w:tcW w:type="dxa" w:w="1909"/>
            <w:shd w:fill="183145"/>
          </w:tcPr>
          <w:p>
            <w:r>
              <w:rPr>
                <w:b/>
                <w:color w:val="FFFFFF"/>
                <w:sz w:val="14"/>
              </w:rPr>
              <w:t>Gatilho operacional</w:t>
            </w:r>
          </w:p>
        </w:tc>
      </w:tr>
      <w:tr>
        <w:trPr>
          <w:cantSplit/>
        </w:trPr>
        <w:tc>
          <w:tcPr>
            <w:tcW w:type="dxa" w:w="1909"/>
            <w:vAlign w:val="center"/>
          </w:tcPr>
          <w:p>
            <w:pPr>
              <w:spacing w:after="40" w:before="40"/>
            </w:pPr>
            <w:r>
              <w:rPr>
                <w:color w:val="183145"/>
                <w:sz w:val="14"/>
              </w:rPr>
              <w:t>Pessimista</w:t>
            </w:r>
          </w:p>
        </w:tc>
        <w:tc>
          <w:tcPr>
            <w:tcW w:type="dxa" w:w="1909"/>
            <w:vAlign w:val="center"/>
          </w:tcPr>
          <w:p>
            <w:pPr>
              <w:spacing w:after="40" w:before="40"/>
            </w:pPr>
            <w:r>
              <w:rPr>
                <w:color w:val="183145"/>
                <w:sz w:val="14"/>
              </w:rPr>
              <w:t>Crescimento real médio hipotético 1,0%</w:t>
            </w:r>
          </w:p>
        </w:tc>
        <w:tc>
          <w:tcPr>
            <w:tcW w:type="dxa" w:w="1909"/>
            <w:vAlign w:val="center"/>
          </w:tcPr>
          <w:p>
            <w:pPr>
              <w:spacing w:after="40" w:before="40"/>
            </w:pPr>
            <w:r>
              <w:rPr>
                <w:color w:val="183145"/>
                <w:sz w:val="14"/>
              </w:rPr>
              <w:t>Inflação persistentemente superior à meta, juros altos</w:t>
            </w:r>
          </w:p>
        </w:tc>
        <w:tc>
          <w:tcPr>
            <w:tcW w:type="dxa" w:w="1909"/>
            <w:vAlign w:val="center"/>
          </w:tcPr>
          <w:p>
            <w:pPr>
              <w:spacing w:after="40" w:before="40"/>
            </w:pPr>
            <w:r>
              <w:rPr>
                <w:color w:val="183145"/>
                <w:sz w:val="14"/>
              </w:rPr>
              <w:t>Offsets só 60% realizados: R$ 108,6 bi</w:t>
            </w:r>
          </w:p>
        </w:tc>
        <w:tc>
          <w:tcPr>
            <w:tcW w:type="dxa" w:w="1909"/>
            <w:vAlign w:val="center"/>
          </w:tcPr>
          <w:p>
            <w:pPr>
              <w:spacing w:after="40" w:before="40"/>
            </w:pPr>
            <w:r>
              <w:rPr>
                <w:color w:val="183145"/>
                <w:sz w:val="14"/>
              </w:rPr>
              <w:t>Suspender expansão discricionária, preservar SUS básico e contratos; novo gasto máximo &lt;= receita assegurada</w:t>
            </w:r>
          </w:p>
        </w:tc>
      </w:tr>
      <w:tr>
        <w:trPr>
          <w:cantSplit/>
        </w:trPr>
        <w:tc>
          <w:tcPr>
            <w:tcW w:type="dxa" w:w="1909"/>
            <w:vAlign w:val="center"/>
          </w:tcPr>
          <w:p>
            <w:pPr>
              <w:spacing w:after="40" w:before="40"/>
            </w:pPr>
            <w:r>
              <w:rPr>
                <w:color w:val="183145"/>
                <w:sz w:val="14"/>
              </w:rPr>
              <w:t>Central</w:t>
            </w:r>
          </w:p>
        </w:tc>
        <w:tc>
          <w:tcPr>
            <w:tcW w:type="dxa" w:w="1909"/>
            <w:vAlign w:val="center"/>
          </w:tcPr>
          <w:p>
            <w:pPr>
              <w:spacing w:after="40" w:before="40"/>
            </w:pPr>
            <w:r>
              <w:rPr>
                <w:color w:val="183145"/>
                <w:sz w:val="14"/>
              </w:rPr>
              <w:t>Crescimento real médio hipotético 2,2%</w:t>
            </w:r>
          </w:p>
        </w:tc>
        <w:tc>
          <w:tcPr>
            <w:tcW w:type="dxa" w:w="1909"/>
            <w:vAlign w:val="center"/>
          </w:tcPr>
          <w:p>
            <w:pPr>
              <w:spacing w:after="40" w:before="40"/>
            </w:pPr>
            <w:r>
              <w:rPr>
                <w:color w:val="183145"/>
                <w:sz w:val="14"/>
              </w:rPr>
              <w:t>Inflação converge gradualmente à meta sem comando presidencial</w:t>
            </w:r>
          </w:p>
        </w:tc>
        <w:tc>
          <w:tcPr>
            <w:tcW w:type="dxa" w:w="1909"/>
            <w:vAlign w:val="center"/>
          </w:tcPr>
          <w:p>
            <w:pPr>
              <w:spacing w:after="40" w:before="40"/>
            </w:pPr>
            <w:r>
              <w:rPr>
                <w:color w:val="183145"/>
                <w:sz w:val="14"/>
              </w:rPr>
              <w:t>Offsets 80% realizados: R$ 144,8 bi</w:t>
            </w:r>
          </w:p>
        </w:tc>
        <w:tc>
          <w:tcPr>
            <w:tcW w:type="dxa" w:w="1909"/>
            <w:vAlign w:val="center"/>
          </w:tcPr>
          <w:p>
            <w:pPr>
              <w:spacing w:after="40" w:before="40"/>
            </w:pPr>
            <w:r>
              <w:rPr>
                <w:color w:val="183145"/>
                <w:sz w:val="14"/>
              </w:rPr>
              <w:t>Para equilíbrio incremental, reduzir novas despesas em pelo menos R$ 10,2 bi ou obter fontes legais adicionais</w:t>
            </w:r>
          </w:p>
        </w:tc>
      </w:tr>
      <w:tr>
        <w:trPr>
          <w:cantSplit/>
        </w:trPr>
        <w:tc>
          <w:tcPr>
            <w:tcW w:type="dxa" w:w="1909"/>
            <w:vAlign w:val="center"/>
          </w:tcPr>
          <w:p>
            <w:pPr>
              <w:spacing w:after="40" w:before="40"/>
            </w:pPr>
            <w:r>
              <w:rPr>
                <w:color w:val="183145"/>
                <w:sz w:val="14"/>
              </w:rPr>
              <w:t>Otimista</w:t>
            </w:r>
          </w:p>
        </w:tc>
        <w:tc>
          <w:tcPr>
            <w:tcW w:type="dxa" w:w="1909"/>
            <w:vAlign w:val="center"/>
          </w:tcPr>
          <w:p>
            <w:pPr>
              <w:spacing w:after="40" w:before="40"/>
            </w:pPr>
            <w:r>
              <w:rPr>
                <w:color w:val="183145"/>
                <w:sz w:val="14"/>
              </w:rPr>
              <w:t>Crescimento real médio hipotético 3,0%</w:t>
            </w:r>
          </w:p>
        </w:tc>
        <w:tc>
          <w:tcPr>
            <w:tcW w:type="dxa" w:w="1909"/>
            <w:vAlign w:val="center"/>
          </w:tcPr>
          <w:p>
            <w:pPr>
              <w:spacing w:after="40" w:before="40"/>
            </w:pPr>
            <w:r>
              <w:rPr>
                <w:color w:val="183145"/>
                <w:sz w:val="14"/>
              </w:rPr>
              <w:t>Melhor produtividade e prêmio de risco menor</w:t>
            </w:r>
          </w:p>
        </w:tc>
        <w:tc>
          <w:tcPr>
            <w:tcW w:type="dxa" w:w="1909"/>
            <w:vAlign w:val="center"/>
          </w:tcPr>
          <w:p>
            <w:pPr>
              <w:spacing w:after="40" w:before="40"/>
            </w:pPr>
            <w:r>
              <w:rPr>
                <w:color w:val="183145"/>
                <w:sz w:val="14"/>
              </w:rPr>
              <w:t>Offsets 100% realizados: R$ 181 bi</w:t>
            </w:r>
          </w:p>
        </w:tc>
        <w:tc>
          <w:tcPr>
            <w:tcW w:type="dxa" w:w="1909"/>
            <w:vAlign w:val="center"/>
          </w:tcPr>
          <w:p>
            <w:pPr>
              <w:spacing w:after="40" w:before="40"/>
            </w:pPr>
            <w:r>
              <w:rPr>
                <w:color w:val="183145"/>
                <w:sz w:val="14"/>
              </w:rPr>
              <w:t>Despesa até R$ 155 bi, reservar diferença para meta fiscal/dívida</w:t>
            </w:r>
          </w:p>
        </w:tc>
      </w:tr>
    </w:tbl>
    <w:p/>
    <w:p>
      <w:r>
        <w:t>Esses cenários são exercícios de sensibilidade, NÃO previsões do Banco Central, FMI ou equipe de transição real. Não se estabelece meta numérica de câmbio; política monetária cabe ao Copom. Um superávit primário do plano incremental não corrige automaticamente o déficit de base nem garante queda da dívida, que também depende dos juros nominais, crescimento e ajustes patrimoniais. O objetivo é melhorar progressivamente o saldo primário e estabilizar a dívida no médio prazo, condicionado ao ciclo macroeconômico e à decisão legislativa. Se renúncias não puderem ser encerradas, receitas progressivas não forem aprovadas ou economias de compras falharem, novas despesas serão escalonadas ou canceladas, começando por projetos não iniciados.</w:t>
      </w:r>
    </w:p>
    <w:p>
      <w:r>
        <w:t>Conformidade jurídica: PPA, LDO e LOA, Lei de Responsabilidade Fiscal, LC 200/2023 [S16], estimativa de impacto em renúncias/despesas obrigatórias, licitações, transparência do Tesouro e controle externo. Não vincular o programa a congelamento nominal inviável de benefícios constitucionalmente protegidos. Alterações de impostos obedecem competência, anterioridade quando aplicável e transição de EC 132/2023. A lei orçamentária é votada pelo Congresso, e a iniciativa presidencial não assegura sua aprovação.</w:t>
      </w:r>
    </w:p>
    <w:p>
      <w:pPr>
        <w:pStyle w:val="Heading1"/>
      </w:pPr>
      <w:r>
        <w:t>4. Cronograma executivo trimestral</w:t>
      </w:r>
    </w:p>
    <w:tbl>
      <w:tblPr>
        <w:tblStyle w:val="TableGrid"/>
        <w:tblW w:type="auto" w:w="0"/>
        <w:jc w:val="center"/>
        <w:tblLook w:firstColumn="1" w:firstRow="1" w:lastColumn="0" w:lastRow="0" w:noHBand="0" w:noVBand="1" w:val="04A0"/>
      </w:tblPr>
      <w:tblGrid>
        <w:gridCol w:w="4773"/>
        <w:gridCol w:w="4773"/>
      </w:tblGrid>
      <w:tr>
        <w:trPr>
          <w:tblHeader w:val="true"/>
          <w:cantSplit/>
        </w:trPr>
        <w:tc>
          <w:tcPr>
            <w:tcW w:type="dxa" w:w="4773"/>
            <w:shd w:fill="183145"/>
          </w:tcPr>
          <w:p>
            <w:r>
              <w:rPr>
                <w:b/>
                <w:color w:val="FFFFFF"/>
                <w:sz w:val="16"/>
              </w:rPr>
              <w:t>Janela</w:t>
            </w:r>
          </w:p>
        </w:tc>
        <w:tc>
          <w:tcPr>
            <w:tcW w:type="dxa" w:w="4773"/>
            <w:shd w:fill="183145"/>
          </w:tcPr>
          <w:p>
            <w:r>
              <w:rPr>
                <w:b/>
                <w:color w:val="FFFFFF"/>
                <w:sz w:val="16"/>
              </w:rPr>
              <w:t>Marcos verificáveis</w:t>
            </w:r>
          </w:p>
        </w:tc>
      </w:tr>
      <w:tr>
        <w:trPr>
          <w:cantSplit/>
        </w:trPr>
        <w:tc>
          <w:tcPr>
            <w:tcW w:type="dxa" w:w="4773"/>
            <w:vAlign w:val="center"/>
          </w:tcPr>
          <w:p>
            <w:pPr>
              <w:spacing w:after="40" w:before="40"/>
            </w:pPr>
            <w:r>
              <w:rPr>
                <w:color w:val="183145"/>
                <w:sz w:val="16"/>
              </w:rPr>
              <w:t>2027/T1</w:t>
            </w:r>
          </w:p>
        </w:tc>
        <w:tc>
          <w:tcPr>
            <w:tcW w:type="dxa" w:w="4773"/>
            <w:vAlign w:val="center"/>
          </w:tcPr>
          <w:p>
            <w:pPr>
              <w:spacing w:after="40" w:before="40"/>
            </w:pPr>
            <w:r>
              <w:rPr>
                <w:color w:val="183145"/>
                <w:sz w:val="16"/>
              </w:rPr>
              <w:t>Auditoria de subsídios; mapa de filas/alfabetização; gabinetes federativos; mensagem fiscal e transparência.</w:t>
            </w:r>
          </w:p>
        </w:tc>
      </w:tr>
      <w:tr>
        <w:trPr>
          <w:cantSplit/>
        </w:trPr>
        <w:tc>
          <w:tcPr>
            <w:tcW w:type="dxa" w:w="4773"/>
            <w:vAlign w:val="center"/>
          </w:tcPr>
          <w:p>
            <w:pPr>
              <w:spacing w:after="40" w:before="40"/>
            </w:pPr>
            <w:r>
              <w:rPr>
                <w:color w:val="183145"/>
                <w:sz w:val="16"/>
              </w:rPr>
              <w:t>2027/T2</w:t>
            </w:r>
          </w:p>
        </w:tc>
        <w:tc>
          <w:tcPr>
            <w:tcW w:type="dxa" w:w="4773"/>
            <w:vAlign w:val="center"/>
          </w:tcPr>
          <w:p>
            <w:pPr>
              <w:spacing w:after="40" w:before="40"/>
            </w:pPr>
            <w:r>
              <w:rPr>
                <w:color w:val="183145"/>
                <w:sz w:val="16"/>
              </w:rPr>
              <w:t>Editais piloto de creche, telessaúde e laboratórios; revisão contratual e projetos de lei.</w:t>
            </w:r>
          </w:p>
        </w:tc>
      </w:tr>
      <w:tr>
        <w:trPr>
          <w:cantSplit/>
        </w:trPr>
        <w:tc>
          <w:tcPr>
            <w:tcW w:type="dxa" w:w="4773"/>
            <w:vAlign w:val="center"/>
          </w:tcPr>
          <w:p>
            <w:pPr>
              <w:spacing w:after="40" w:before="40"/>
            </w:pPr>
            <w:r>
              <w:rPr>
                <w:color w:val="183145"/>
                <w:sz w:val="16"/>
              </w:rPr>
              <w:t>2027/T3</w:t>
            </w:r>
          </w:p>
        </w:tc>
        <w:tc>
          <w:tcPr>
            <w:tcW w:type="dxa" w:w="4773"/>
            <w:vAlign w:val="center"/>
          </w:tcPr>
          <w:p>
            <w:pPr>
              <w:spacing w:after="40" w:before="40"/>
            </w:pPr>
            <w:r>
              <w:rPr>
                <w:color w:val="183145"/>
                <w:sz w:val="16"/>
              </w:rPr>
              <w:t>Licitações de manutenção; pactos SUSP; adesão das UFs; publicação do 1º relatório de risco.</w:t>
            </w:r>
          </w:p>
        </w:tc>
      </w:tr>
      <w:tr>
        <w:trPr>
          <w:cantSplit/>
        </w:trPr>
        <w:tc>
          <w:tcPr>
            <w:tcW w:type="dxa" w:w="4773"/>
            <w:vAlign w:val="center"/>
          </w:tcPr>
          <w:p>
            <w:pPr>
              <w:spacing w:after="40" w:before="40"/>
            </w:pPr>
            <w:r>
              <w:rPr>
                <w:color w:val="183145"/>
                <w:sz w:val="16"/>
              </w:rPr>
              <w:t>2027/T4</w:t>
            </w:r>
          </w:p>
        </w:tc>
        <w:tc>
          <w:tcPr>
            <w:tcW w:type="dxa" w:w="4773"/>
            <w:vAlign w:val="center"/>
          </w:tcPr>
          <w:p>
            <w:pPr>
              <w:spacing w:after="40" w:before="40"/>
            </w:pPr>
            <w:r>
              <w:rPr>
                <w:color w:val="183145"/>
                <w:sz w:val="16"/>
              </w:rPr>
              <w:t>Auditorias; primeiro balanço de indicadores, correção e LOA 2028 condicionada.</w:t>
            </w:r>
          </w:p>
        </w:tc>
      </w:tr>
      <w:tr>
        <w:trPr>
          <w:cantSplit/>
        </w:trPr>
        <w:tc>
          <w:tcPr>
            <w:tcW w:type="dxa" w:w="4773"/>
            <w:vAlign w:val="center"/>
          </w:tcPr>
          <w:p>
            <w:pPr>
              <w:spacing w:after="40" w:before="40"/>
            </w:pPr>
            <w:r>
              <w:rPr>
                <w:color w:val="183145"/>
                <w:sz w:val="16"/>
              </w:rPr>
              <w:t>2028/T1–T2</w:t>
            </w:r>
          </w:p>
        </w:tc>
        <w:tc>
          <w:tcPr>
            <w:tcW w:type="dxa" w:w="4773"/>
            <w:vAlign w:val="center"/>
          </w:tcPr>
          <w:p>
            <w:pPr>
              <w:spacing w:after="40" w:before="40"/>
            </w:pPr>
            <w:r>
              <w:rPr>
                <w:color w:val="183145"/>
                <w:sz w:val="16"/>
              </w:rPr>
              <w:t>Expandir serviços que cumpriram metas; contratar manutenção e saneamento; treinar trabalhadores.</w:t>
            </w:r>
          </w:p>
        </w:tc>
      </w:tr>
      <w:tr>
        <w:trPr>
          <w:cantSplit/>
        </w:trPr>
        <w:tc>
          <w:tcPr>
            <w:tcW w:type="dxa" w:w="4773"/>
            <w:vAlign w:val="center"/>
          </w:tcPr>
          <w:p>
            <w:pPr>
              <w:spacing w:after="40" w:before="40"/>
            </w:pPr>
            <w:r>
              <w:rPr>
                <w:color w:val="183145"/>
                <w:sz w:val="16"/>
              </w:rPr>
              <w:t>2028/T3–T4</w:t>
            </w:r>
          </w:p>
        </w:tc>
        <w:tc>
          <w:tcPr>
            <w:tcW w:type="dxa" w:w="4773"/>
            <w:vAlign w:val="center"/>
          </w:tcPr>
          <w:p>
            <w:pPr>
              <w:spacing w:after="40" w:before="40"/>
            </w:pPr>
            <w:r>
              <w:rPr>
                <w:color w:val="183145"/>
                <w:sz w:val="16"/>
              </w:rPr>
              <w:t>Avaliação externa de pilotos; remover subsídios sem impacto; auditar compras de tecnologia.</w:t>
            </w:r>
          </w:p>
        </w:tc>
      </w:tr>
      <w:tr>
        <w:trPr>
          <w:cantSplit/>
        </w:trPr>
        <w:tc>
          <w:tcPr>
            <w:tcW w:type="dxa" w:w="4773"/>
            <w:vAlign w:val="center"/>
          </w:tcPr>
          <w:p>
            <w:pPr>
              <w:spacing w:after="40" w:before="40"/>
            </w:pPr>
            <w:r>
              <w:rPr>
                <w:color w:val="183145"/>
                <w:sz w:val="16"/>
              </w:rPr>
              <w:t>2029/T1–T2</w:t>
            </w:r>
          </w:p>
        </w:tc>
        <w:tc>
          <w:tcPr>
            <w:tcW w:type="dxa" w:w="4773"/>
            <w:vAlign w:val="center"/>
          </w:tcPr>
          <w:p>
            <w:pPr>
              <w:spacing w:after="40" w:before="40"/>
            </w:pPr>
            <w:r>
              <w:rPr>
                <w:color w:val="183145"/>
                <w:sz w:val="16"/>
              </w:rPr>
              <w:t>Escalonar programas comprovados; negociar ajustes de jornada e plataforma com base em estudos.</w:t>
            </w:r>
          </w:p>
        </w:tc>
      </w:tr>
      <w:tr>
        <w:trPr>
          <w:cantSplit/>
        </w:trPr>
        <w:tc>
          <w:tcPr>
            <w:tcW w:type="dxa" w:w="4773"/>
            <w:vAlign w:val="center"/>
          </w:tcPr>
          <w:p>
            <w:pPr>
              <w:spacing w:after="40" w:before="40"/>
            </w:pPr>
            <w:r>
              <w:rPr>
                <w:color w:val="183145"/>
                <w:sz w:val="16"/>
              </w:rPr>
              <w:t>2029/T3–T4</w:t>
            </w:r>
          </w:p>
        </w:tc>
        <w:tc>
          <w:tcPr>
            <w:tcW w:type="dxa" w:w="4773"/>
            <w:vAlign w:val="center"/>
          </w:tcPr>
          <w:p>
            <w:pPr>
              <w:spacing w:after="40" w:before="40"/>
            </w:pPr>
            <w:r>
              <w:rPr>
                <w:color w:val="183145"/>
                <w:sz w:val="16"/>
              </w:rPr>
              <w:t>Revisão de orçamento e metas por estado; publicar contratos e efeitos distributivos.</w:t>
            </w:r>
          </w:p>
        </w:tc>
      </w:tr>
      <w:tr>
        <w:trPr>
          <w:cantSplit/>
        </w:trPr>
        <w:tc>
          <w:tcPr>
            <w:tcW w:type="dxa" w:w="4773"/>
            <w:vAlign w:val="center"/>
          </w:tcPr>
          <w:p>
            <w:pPr>
              <w:spacing w:after="40" w:before="40"/>
            </w:pPr>
            <w:r>
              <w:rPr>
                <w:color w:val="183145"/>
                <w:sz w:val="16"/>
              </w:rPr>
              <w:t>2030/T1–T2</w:t>
            </w:r>
          </w:p>
        </w:tc>
        <w:tc>
          <w:tcPr>
            <w:tcW w:type="dxa" w:w="4773"/>
            <w:vAlign w:val="center"/>
          </w:tcPr>
          <w:p>
            <w:pPr>
              <w:spacing w:after="40" w:before="40"/>
            </w:pPr>
            <w:r>
              <w:rPr>
                <w:color w:val="183145"/>
                <w:sz w:val="16"/>
              </w:rPr>
              <w:t>Concluir obras operacionais, não só físicas; publicar coortes educacionais e de saúde.</w:t>
            </w:r>
          </w:p>
        </w:tc>
      </w:tr>
      <w:tr>
        <w:trPr>
          <w:cantSplit/>
        </w:trPr>
        <w:tc>
          <w:tcPr>
            <w:tcW w:type="dxa" w:w="4773"/>
            <w:vAlign w:val="center"/>
          </w:tcPr>
          <w:p>
            <w:pPr>
              <w:spacing w:after="40" w:before="40"/>
            </w:pPr>
            <w:r>
              <w:rPr>
                <w:color w:val="183145"/>
                <w:sz w:val="16"/>
              </w:rPr>
              <w:t>2030/T3–T4</w:t>
            </w:r>
          </w:p>
        </w:tc>
        <w:tc>
          <w:tcPr>
            <w:tcW w:type="dxa" w:w="4773"/>
            <w:vAlign w:val="center"/>
          </w:tcPr>
          <w:p>
            <w:pPr>
              <w:spacing w:after="40" w:before="40"/>
            </w:pPr>
            <w:r>
              <w:rPr>
                <w:color w:val="183145"/>
                <w:sz w:val="16"/>
              </w:rPr>
              <w:t>Prestar contas do quadriênio; auditoria independente; transição de governo sem destruição de bases.</w:t>
            </w:r>
          </w:p>
        </w:tc>
      </w:tr>
    </w:tbl>
    <w:p/>
    <w:p>
      <w:pPr>
        <w:pStyle w:val="Heading1"/>
      </w:pPr>
      <w:r>
        <w:t>5. Governabilidade com 8% das cadeiras em cada Casa</w:t>
      </w:r>
    </w:p>
    <w:p>
      <w:r>
        <w:t>O PHT começa com apenas 8% da Câmara e 8% do Senado — hipótese da simulação, não eleição verdadeira. Isso impede formar maioria sozinho. O governo negociará um acordo público dividido por temas, com autonomia de cada bancada, recebendo apoio inclusive da oposição para projetos de convergência e aceitando derrotas em matérias de dissenso. O método prioriza pactos de médio prazo e votação nominal pública, sem distribuição secreta de verbas.</w:t>
      </w:r>
    </w:p>
    <w:p>
      <w:pPr>
        <w:pStyle w:val="Heading1"/>
      </w:pPr>
      <w:r>
        <w:t>6. Gabinete hipotético e perfil dos ministros</w:t>
      </w:r>
    </w:p>
    <w:p>
      <w:r>
        <w:t>Ministros serão escolhidos por aptidão técnica, experiência de gestão, capacidade de conversar com parlamentares, compromisso democrático e inexistência de conflito de interesses não mitigado. Nomeação partidária é possível quando há responsabilidade, mas não se comprará base com empresas estatais ou contratos. Vice Rafael coordena conselho federativo sem substituir competências. A lista abaixo indica arranjo funcional hipotético, não nomeação de pessoas reais.</w:t>
      </w:r>
    </w:p>
    <w:tbl>
      <w:tblPr>
        <w:tblStyle w:val="TableGrid"/>
        <w:tblW w:type="auto" w:w="0"/>
        <w:jc w:val="center"/>
        <w:tblLook w:firstColumn="1" w:firstRow="1" w:lastColumn="0" w:lastRow="0" w:noHBand="0" w:noVBand="1" w:val="04A0"/>
      </w:tblPr>
      <w:tblGrid>
        <w:gridCol w:w="4773"/>
        <w:gridCol w:w="4773"/>
      </w:tblGrid>
      <w:tr>
        <w:trPr>
          <w:tblHeader w:val="true"/>
          <w:cantSplit/>
        </w:trPr>
        <w:tc>
          <w:tcPr>
            <w:tcW w:type="dxa" w:w="4773"/>
            <w:shd w:fill="183145"/>
          </w:tcPr>
          <w:p>
            <w:r>
              <w:rPr>
                <w:b/>
                <w:color w:val="FFFFFF"/>
                <w:sz w:val="16"/>
              </w:rPr>
              <w:t>Área / órgão funcional</w:t>
            </w:r>
          </w:p>
        </w:tc>
        <w:tc>
          <w:tcPr>
            <w:tcW w:type="dxa" w:w="4773"/>
            <w:shd w:fill="183145"/>
          </w:tcPr>
          <w:p>
            <w:r>
              <w:rPr>
                <w:b/>
                <w:color w:val="FFFFFF"/>
                <w:sz w:val="16"/>
              </w:rPr>
              <w:t>Prioridade e perfil</w:t>
            </w:r>
          </w:p>
        </w:tc>
      </w:tr>
      <w:tr>
        <w:trPr>
          <w:cantSplit/>
        </w:trPr>
        <w:tc>
          <w:tcPr>
            <w:tcW w:type="dxa" w:w="4773"/>
            <w:vAlign w:val="center"/>
          </w:tcPr>
          <w:p>
            <w:pPr>
              <w:spacing w:after="40" w:before="40"/>
            </w:pPr>
            <w:r>
              <w:rPr>
                <w:color w:val="183145"/>
                <w:sz w:val="16"/>
              </w:rPr>
              <w:t>Casa Civil</w:t>
            </w:r>
          </w:p>
        </w:tc>
        <w:tc>
          <w:tcPr>
            <w:tcW w:type="dxa" w:w="4773"/>
            <w:vAlign w:val="center"/>
          </w:tcPr>
          <w:p>
            <w:pPr>
              <w:spacing w:after="40" w:before="40"/>
            </w:pPr>
            <w:r>
              <w:rPr>
                <w:color w:val="183145"/>
                <w:sz w:val="16"/>
              </w:rPr>
              <w:t>Coordenação e cronograma legislativo, integridade de implementação.</w:t>
            </w:r>
          </w:p>
        </w:tc>
      </w:tr>
      <w:tr>
        <w:trPr>
          <w:cantSplit/>
        </w:trPr>
        <w:tc>
          <w:tcPr>
            <w:tcW w:type="dxa" w:w="4773"/>
            <w:vAlign w:val="center"/>
          </w:tcPr>
          <w:p>
            <w:pPr>
              <w:spacing w:after="40" w:before="40"/>
            </w:pPr>
            <w:r>
              <w:rPr>
                <w:color w:val="183145"/>
                <w:sz w:val="16"/>
              </w:rPr>
              <w:t>Fazenda</w:t>
            </w:r>
          </w:p>
        </w:tc>
        <w:tc>
          <w:tcPr>
            <w:tcW w:type="dxa" w:w="4773"/>
            <w:vAlign w:val="center"/>
          </w:tcPr>
          <w:p>
            <w:pPr>
              <w:spacing w:after="40" w:before="40"/>
            </w:pPr>
            <w:r>
              <w:rPr>
                <w:color w:val="183145"/>
                <w:sz w:val="16"/>
              </w:rPr>
              <w:t>Regra fiscal, tributos, dívida e transparência de projeções.</w:t>
            </w:r>
          </w:p>
        </w:tc>
      </w:tr>
      <w:tr>
        <w:trPr>
          <w:cantSplit/>
        </w:trPr>
        <w:tc>
          <w:tcPr>
            <w:tcW w:type="dxa" w:w="4773"/>
            <w:vAlign w:val="center"/>
          </w:tcPr>
          <w:p>
            <w:pPr>
              <w:spacing w:after="40" w:before="40"/>
            </w:pPr>
            <w:r>
              <w:rPr>
                <w:color w:val="183145"/>
                <w:sz w:val="16"/>
              </w:rPr>
              <w:t>Planejamento</w:t>
            </w:r>
          </w:p>
        </w:tc>
        <w:tc>
          <w:tcPr>
            <w:tcW w:type="dxa" w:w="4773"/>
            <w:vAlign w:val="center"/>
          </w:tcPr>
          <w:p>
            <w:pPr>
              <w:spacing w:after="40" w:before="40"/>
            </w:pPr>
            <w:r>
              <w:rPr>
                <w:color w:val="183145"/>
                <w:sz w:val="16"/>
              </w:rPr>
              <w:t>PPA, qualidade do gasto, avaliação de políticas.</w:t>
            </w:r>
          </w:p>
        </w:tc>
      </w:tr>
      <w:tr>
        <w:trPr>
          <w:cantSplit/>
        </w:trPr>
        <w:tc>
          <w:tcPr>
            <w:tcW w:type="dxa" w:w="4773"/>
            <w:vAlign w:val="center"/>
          </w:tcPr>
          <w:p>
            <w:pPr>
              <w:spacing w:after="40" w:before="40"/>
            </w:pPr>
            <w:r>
              <w:rPr>
                <w:color w:val="183145"/>
                <w:sz w:val="16"/>
              </w:rPr>
              <w:t>Saúde</w:t>
            </w:r>
          </w:p>
        </w:tc>
        <w:tc>
          <w:tcPr>
            <w:tcW w:type="dxa" w:w="4773"/>
            <w:vAlign w:val="center"/>
          </w:tcPr>
          <w:p>
            <w:pPr>
              <w:spacing w:after="40" w:before="40"/>
            </w:pPr>
            <w:r>
              <w:rPr>
                <w:color w:val="183145"/>
                <w:sz w:val="16"/>
              </w:rPr>
              <w:t>SUS, atenção primária, vacinação e gestão das filas.</w:t>
            </w:r>
          </w:p>
        </w:tc>
      </w:tr>
      <w:tr>
        <w:trPr>
          <w:cantSplit/>
        </w:trPr>
        <w:tc>
          <w:tcPr>
            <w:tcW w:type="dxa" w:w="4773"/>
            <w:vAlign w:val="center"/>
          </w:tcPr>
          <w:p>
            <w:pPr>
              <w:spacing w:after="40" w:before="40"/>
            </w:pPr>
            <w:r>
              <w:rPr>
                <w:color w:val="183145"/>
                <w:sz w:val="16"/>
              </w:rPr>
              <w:t>Educação</w:t>
            </w:r>
          </w:p>
        </w:tc>
        <w:tc>
          <w:tcPr>
            <w:tcW w:type="dxa" w:w="4773"/>
            <w:vAlign w:val="center"/>
          </w:tcPr>
          <w:p>
            <w:pPr>
              <w:spacing w:after="40" w:before="40"/>
            </w:pPr>
            <w:r>
              <w:rPr>
                <w:color w:val="183145"/>
                <w:sz w:val="16"/>
              </w:rPr>
              <w:t>Alfabetização, creches, professores e ensino técnico.</w:t>
            </w:r>
          </w:p>
        </w:tc>
      </w:tr>
      <w:tr>
        <w:trPr>
          <w:cantSplit/>
        </w:trPr>
        <w:tc>
          <w:tcPr>
            <w:tcW w:type="dxa" w:w="4773"/>
            <w:vAlign w:val="center"/>
          </w:tcPr>
          <w:p>
            <w:pPr>
              <w:spacing w:after="40" w:before="40"/>
            </w:pPr>
            <w:r>
              <w:rPr>
                <w:color w:val="183145"/>
                <w:sz w:val="16"/>
              </w:rPr>
              <w:t>Justiça e Segurança Pública</w:t>
            </w:r>
          </w:p>
        </w:tc>
        <w:tc>
          <w:tcPr>
            <w:tcW w:type="dxa" w:w="4773"/>
            <w:vAlign w:val="center"/>
          </w:tcPr>
          <w:p>
            <w:pPr>
              <w:spacing w:after="40" w:before="40"/>
            </w:pPr>
            <w:r>
              <w:rPr>
                <w:color w:val="183145"/>
                <w:sz w:val="16"/>
              </w:rPr>
              <w:t>SUSP, PF, prisões federais e articulação legal com estados.</w:t>
            </w:r>
          </w:p>
        </w:tc>
      </w:tr>
      <w:tr>
        <w:trPr>
          <w:cantSplit/>
        </w:trPr>
        <w:tc>
          <w:tcPr>
            <w:tcW w:type="dxa" w:w="4773"/>
            <w:vAlign w:val="center"/>
          </w:tcPr>
          <w:p>
            <w:pPr>
              <w:spacing w:after="40" w:before="40"/>
            </w:pPr>
            <w:r>
              <w:rPr>
                <w:color w:val="183145"/>
                <w:sz w:val="16"/>
              </w:rPr>
              <w:t>Defesa</w:t>
            </w:r>
          </w:p>
        </w:tc>
        <w:tc>
          <w:tcPr>
            <w:tcW w:type="dxa" w:w="4773"/>
            <w:vAlign w:val="center"/>
          </w:tcPr>
          <w:p>
            <w:pPr>
              <w:spacing w:after="40" w:before="40"/>
            </w:pPr>
            <w:r>
              <w:rPr>
                <w:color w:val="183145"/>
                <w:sz w:val="16"/>
              </w:rPr>
              <w:t>Prontidão, fronteiras e ciberdefesa com controle civil.</w:t>
            </w:r>
          </w:p>
        </w:tc>
      </w:tr>
      <w:tr>
        <w:trPr>
          <w:cantSplit/>
        </w:trPr>
        <w:tc>
          <w:tcPr>
            <w:tcW w:type="dxa" w:w="4773"/>
            <w:vAlign w:val="center"/>
          </w:tcPr>
          <w:p>
            <w:pPr>
              <w:spacing w:after="40" w:before="40"/>
            </w:pPr>
            <w:r>
              <w:rPr>
                <w:color w:val="183145"/>
                <w:sz w:val="16"/>
              </w:rPr>
              <w:t>Relações Exteriores</w:t>
            </w:r>
          </w:p>
        </w:tc>
        <w:tc>
          <w:tcPr>
            <w:tcW w:type="dxa" w:w="4773"/>
            <w:vAlign w:val="center"/>
          </w:tcPr>
          <w:p>
            <w:pPr>
              <w:spacing w:after="40" w:before="40"/>
            </w:pPr>
            <w:r>
              <w:rPr>
                <w:color w:val="183145"/>
                <w:sz w:val="16"/>
              </w:rPr>
              <w:t>Diplomacia não alinhada automaticamente e comércio.</w:t>
            </w:r>
          </w:p>
        </w:tc>
      </w:tr>
      <w:tr>
        <w:trPr>
          <w:cantSplit/>
        </w:trPr>
        <w:tc>
          <w:tcPr>
            <w:tcW w:type="dxa" w:w="4773"/>
            <w:vAlign w:val="center"/>
          </w:tcPr>
          <w:p>
            <w:pPr>
              <w:spacing w:after="40" w:before="40"/>
            </w:pPr>
            <w:r>
              <w:rPr>
                <w:color w:val="183145"/>
                <w:sz w:val="16"/>
              </w:rPr>
              <w:t>Infraestrutura</w:t>
            </w:r>
          </w:p>
        </w:tc>
        <w:tc>
          <w:tcPr>
            <w:tcW w:type="dxa" w:w="4773"/>
            <w:vAlign w:val="center"/>
          </w:tcPr>
          <w:p>
            <w:pPr>
              <w:spacing w:after="40" w:before="40"/>
            </w:pPr>
            <w:r>
              <w:rPr>
                <w:color w:val="183145"/>
                <w:sz w:val="16"/>
              </w:rPr>
              <w:t>Carteira logística e manutenção.</w:t>
            </w:r>
          </w:p>
        </w:tc>
      </w:tr>
      <w:tr>
        <w:trPr>
          <w:cantSplit/>
        </w:trPr>
        <w:tc>
          <w:tcPr>
            <w:tcW w:type="dxa" w:w="4773"/>
            <w:vAlign w:val="center"/>
          </w:tcPr>
          <w:p>
            <w:pPr>
              <w:spacing w:after="40" w:before="40"/>
            </w:pPr>
            <w:r>
              <w:rPr>
                <w:color w:val="183145"/>
                <w:sz w:val="16"/>
              </w:rPr>
              <w:t>Cidades</w:t>
            </w:r>
          </w:p>
        </w:tc>
        <w:tc>
          <w:tcPr>
            <w:tcW w:type="dxa" w:w="4773"/>
            <w:vAlign w:val="center"/>
          </w:tcPr>
          <w:p>
            <w:pPr>
              <w:spacing w:after="40" w:before="40"/>
            </w:pPr>
            <w:r>
              <w:rPr>
                <w:color w:val="183145"/>
                <w:sz w:val="16"/>
              </w:rPr>
              <w:t>Saneamento, urbanização e habitação pactuada.</w:t>
            </w:r>
          </w:p>
        </w:tc>
      </w:tr>
      <w:tr>
        <w:trPr>
          <w:cantSplit/>
        </w:trPr>
        <w:tc>
          <w:tcPr>
            <w:tcW w:type="dxa" w:w="4773"/>
            <w:vAlign w:val="center"/>
          </w:tcPr>
          <w:p>
            <w:pPr>
              <w:spacing w:after="40" w:before="40"/>
            </w:pPr>
            <w:r>
              <w:rPr>
                <w:color w:val="183145"/>
                <w:sz w:val="16"/>
              </w:rPr>
              <w:t>Meio Ambiente e Clima</w:t>
            </w:r>
          </w:p>
        </w:tc>
        <w:tc>
          <w:tcPr>
            <w:tcW w:type="dxa" w:w="4773"/>
            <w:vAlign w:val="center"/>
          </w:tcPr>
          <w:p>
            <w:pPr>
              <w:spacing w:after="40" w:before="40"/>
            </w:pPr>
            <w:r>
              <w:rPr>
                <w:color w:val="183145"/>
                <w:sz w:val="16"/>
              </w:rPr>
              <w:t>Desmatamento, adaptação e financiamento por desempenho.</w:t>
            </w:r>
          </w:p>
        </w:tc>
      </w:tr>
      <w:tr>
        <w:trPr>
          <w:cantSplit/>
        </w:trPr>
        <w:tc>
          <w:tcPr>
            <w:tcW w:type="dxa" w:w="4773"/>
            <w:vAlign w:val="center"/>
          </w:tcPr>
          <w:p>
            <w:pPr>
              <w:spacing w:after="40" w:before="40"/>
            </w:pPr>
            <w:r>
              <w:rPr>
                <w:color w:val="183145"/>
                <w:sz w:val="16"/>
              </w:rPr>
              <w:t>Desenvolvimento Agrário/Agricultura</w:t>
            </w:r>
          </w:p>
        </w:tc>
        <w:tc>
          <w:tcPr>
            <w:tcW w:type="dxa" w:w="4773"/>
            <w:vAlign w:val="center"/>
          </w:tcPr>
          <w:p>
            <w:pPr>
              <w:spacing w:after="40" w:before="40"/>
            </w:pPr>
            <w:r>
              <w:rPr>
                <w:color w:val="183145"/>
                <w:sz w:val="16"/>
              </w:rPr>
              <w:t>Assistência rural e agricultura produtiva sustentável.</w:t>
            </w:r>
          </w:p>
        </w:tc>
      </w:tr>
      <w:tr>
        <w:trPr>
          <w:cantSplit/>
        </w:trPr>
        <w:tc>
          <w:tcPr>
            <w:tcW w:type="dxa" w:w="4773"/>
            <w:vAlign w:val="center"/>
          </w:tcPr>
          <w:p>
            <w:pPr>
              <w:spacing w:after="40" w:before="40"/>
            </w:pPr>
            <w:r>
              <w:rPr>
                <w:color w:val="183145"/>
                <w:sz w:val="16"/>
              </w:rPr>
              <w:t>Ciência e Tecnologia</w:t>
            </w:r>
          </w:p>
        </w:tc>
        <w:tc>
          <w:tcPr>
            <w:tcW w:type="dxa" w:w="4773"/>
            <w:vAlign w:val="center"/>
          </w:tcPr>
          <w:p>
            <w:pPr>
              <w:spacing w:after="40" w:before="40"/>
            </w:pPr>
            <w:r>
              <w:rPr>
                <w:color w:val="183145"/>
                <w:sz w:val="16"/>
              </w:rPr>
              <w:t>Pesquisas, soberania digital realista e regulação coordenada.</w:t>
            </w:r>
          </w:p>
        </w:tc>
      </w:tr>
      <w:tr>
        <w:trPr>
          <w:cantSplit/>
        </w:trPr>
        <w:tc>
          <w:tcPr>
            <w:tcW w:type="dxa" w:w="4773"/>
            <w:vAlign w:val="center"/>
          </w:tcPr>
          <w:p>
            <w:pPr>
              <w:spacing w:after="40" w:before="40"/>
            </w:pPr>
            <w:r>
              <w:rPr>
                <w:color w:val="183145"/>
                <w:sz w:val="16"/>
              </w:rPr>
              <w:t>Trabalho e Previdência</w:t>
            </w:r>
          </w:p>
        </w:tc>
        <w:tc>
          <w:tcPr>
            <w:tcW w:type="dxa" w:w="4773"/>
            <w:vAlign w:val="center"/>
          </w:tcPr>
          <w:p>
            <w:pPr>
              <w:spacing w:after="40" w:before="40"/>
            </w:pPr>
            <w:r>
              <w:rPr>
                <w:color w:val="183145"/>
                <w:sz w:val="16"/>
              </w:rPr>
              <w:t>Trabalho digno, emprego, plataformas e INSS.</w:t>
            </w:r>
          </w:p>
        </w:tc>
      </w:tr>
      <w:tr>
        <w:trPr>
          <w:cantSplit/>
        </w:trPr>
        <w:tc>
          <w:tcPr>
            <w:tcW w:type="dxa" w:w="4773"/>
            <w:vAlign w:val="center"/>
          </w:tcPr>
          <w:p>
            <w:pPr>
              <w:spacing w:after="40" w:before="40"/>
            </w:pPr>
            <w:r>
              <w:rPr>
                <w:color w:val="183145"/>
                <w:sz w:val="16"/>
              </w:rPr>
              <w:t>Desenvolvimento, Indústria e Comércio</w:t>
            </w:r>
          </w:p>
        </w:tc>
        <w:tc>
          <w:tcPr>
            <w:tcW w:type="dxa" w:w="4773"/>
            <w:vAlign w:val="center"/>
          </w:tcPr>
          <w:p>
            <w:pPr>
              <w:spacing w:after="40" w:before="40"/>
            </w:pPr>
            <w:r>
              <w:rPr>
                <w:color w:val="183145"/>
                <w:sz w:val="16"/>
              </w:rPr>
              <w:t>Cadeias estratégicas e defesa da concorrência.</w:t>
            </w:r>
          </w:p>
        </w:tc>
      </w:tr>
      <w:tr>
        <w:trPr>
          <w:cantSplit/>
        </w:trPr>
        <w:tc>
          <w:tcPr>
            <w:tcW w:type="dxa" w:w="4773"/>
            <w:vAlign w:val="center"/>
          </w:tcPr>
          <w:p>
            <w:pPr>
              <w:spacing w:after="40" w:before="40"/>
            </w:pPr>
            <w:r>
              <w:rPr>
                <w:color w:val="183145"/>
                <w:sz w:val="16"/>
              </w:rPr>
              <w:t>Cultura/Esporte/Turismo</w:t>
            </w:r>
          </w:p>
        </w:tc>
        <w:tc>
          <w:tcPr>
            <w:tcW w:type="dxa" w:w="4773"/>
            <w:vAlign w:val="center"/>
          </w:tcPr>
          <w:p>
            <w:pPr>
              <w:spacing w:after="40" w:before="40"/>
            </w:pPr>
            <w:r>
              <w:rPr>
                <w:color w:val="183145"/>
                <w:sz w:val="16"/>
              </w:rPr>
              <w:t>Patrimônio, inclusão e economia criativa.</w:t>
            </w:r>
          </w:p>
        </w:tc>
      </w:tr>
      <w:tr>
        <w:trPr>
          <w:cantSplit/>
        </w:trPr>
        <w:tc>
          <w:tcPr>
            <w:tcW w:type="dxa" w:w="4773"/>
            <w:vAlign w:val="center"/>
          </w:tcPr>
          <w:p>
            <w:pPr>
              <w:spacing w:after="40" w:before="40"/>
            </w:pPr>
            <w:r>
              <w:rPr>
                <w:color w:val="183145"/>
                <w:sz w:val="16"/>
              </w:rPr>
              <w:t>CGU e AGU (em suas competências)</w:t>
            </w:r>
          </w:p>
        </w:tc>
        <w:tc>
          <w:tcPr>
            <w:tcW w:type="dxa" w:w="4773"/>
            <w:vAlign w:val="center"/>
          </w:tcPr>
          <w:p>
            <w:pPr>
              <w:spacing w:after="40" w:before="40"/>
            </w:pPr>
            <w:r>
              <w:rPr>
                <w:color w:val="183145"/>
                <w:sz w:val="16"/>
              </w:rPr>
              <w:t>Integridade, controle e segurança jurídica do Executivo.</w:t>
            </w:r>
          </w:p>
        </w:tc>
      </w:tr>
    </w:tbl>
    <w:p/>
    <w:p>
      <w:r>
        <w:t>Congressistas de posições diferentes serão convidados a negociar capítulos específicos: uma base fiscal responsável, um núcleo de educação e saúde, um bloco de infraestrutura e competitividade e um núcleo de segurança com controle legal. Se não houver maioria para a redução de jornada, executaremos capacitação, fiscalização e diálogo sem tentar fazê-la por decreto. Se faltar aprovação para tributação sobre renda alta, não lançaremos despesas contando com essa receita. Congressistas terão interlocução institucional e acesso equitativo às informações, não promessa de impunidade.</w:t>
      </w:r>
    </w:p>
    <w:p>
      <w:pPr>
        <w:pStyle w:val="Heading1"/>
      </w:pPr>
      <w:r>
        <w:t>7. Relação com Federação, Poderes e sociedade</w:t>
      </w:r>
    </w:p>
    <w:p>
      <w:r>
        <w:t>Governadores e prefeitos: mesa a cada trimestre, acordo por metas de serviço, contrapartidas proporcionais à capacidade fiscal e auditoria de repasses. Não haverá punição à população governada por partido opositor. STF e Judiciário: acatamento de decisões, recursos jurídicos quando cabíveis, sem ataques pessoais nem pretensão de intervenção. Empresários: contratos previsíveis e concorrência. Sindicatos: negociação de jornada, qualificação e segurança. Universidades: avaliação independente. Oposição: consulta prévia em projetos estruturantes, tempo de análise real e publicação de alternativas consideradas.</w:t>
      </w:r>
    </w:p>
    <w:p>
      <w:r>
        <w:t>Critérios de veto: inconstitucionalidade, ilegalidade, violação de direitos, impacto fiscal não compensado ou incoerência explícita com metas com justificativa por escrito. Vetos não substituem negociação. Anticorrupção: trilhas de auditoria, gestão de riscos, segregação de funções, declaração de conflito, licitações competitivas, proteção legal de denunciantes, publicação da agenda de ministros e afastamento cautelar motivado quando cabível. Não prometer prisão sem investigação e Judiciário.</w:t>
      </w:r>
    </w:p>
    <w:p>
      <w:r>
        <w:t>Compromisso com eleições livres: garantir meios administrativos à Justiça Eleitoral, não interferir em apuração, reconhecer o resultado válido, permitir fiscalização, entregar arquivos e serviços à equipe sucessora. Não propor extensão extraordinária de mandato nem restringir imprensa. O candidato aceita impeachment, ações de controle e CPI dentro de competências legais.</w:t>
      </w:r>
    </w:p>
    <w:p>
      <w:pPr>
        <w:pStyle w:val="Heading1"/>
      </w:pPr>
      <w:r>
        <w:t>8. Teste de cinco crises presidenciais</w:t>
      </w:r>
    </w:p>
    <w:p>
      <w:pPr>
        <w:pStyle w:val="Heading2"/>
      </w:pPr>
      <w:r>
        <w:t>Crise A — Recessão e desemprego</w:t>
      </w:r>
    </w:p>
    <w:p>
      <w:r>
        <w:t>Primeiras 24 horas: Convocar Fazenda, Planejamento, BCB para diálogo institucional sem ordens sobre juros, MTE e líderes parlamentares; publicar diagnóstico de causa e saldo de caixa, assegurar funcionamento dos serviços essenciais.</w:t>
      </w:r>
    </w:p>
    <w:p>
      <w:r>
        <w:t>Primeiros 30 dias: Propor realocação temporária para seguro-desemprego/qualificação na lei pertinente, acelerar manutenção contratada com projeto pronto e negociar crédito com garantia devidamente precificada. Nada de congelamento arbitrário de preços.</w:t>
      </w:r>
    </w:p>
    <w:p>
      <w:r>
        <w:t>Seis meses seguintes: Recalibrar investimentos e meta fiscal conforme arcabouço e legislação, avaliar empregos gerados, manter âncora de dívida e encerrar ações temporárias. Se receitas caírem, suspender novos editais não essenciais.</w:t>
      </w:r>
    </w:p>
    <w:p>
      <w:pPr>
        <w:pStyle w:val="Heading2"/>
      </w:pPr>
      <w:r>
        <w:t>Crise B — Ataques coordenados de facções em estados</w:t>
      </w:r>
    </w:p>
    <w:p>
      <w:r>
        <w:t>Primeiras 24 horas: Acionar gabinete de crise do Ministério da Justiça, PF e inteligência legal com governadores; proteger hospitais, mobilidade e comunicação. Garantir prova, cadeia de custódia e comunicação pública sem pânico.</w:t>
      </w:r>
    </w:p>
    <w:p>
      <w:r>
        <w:t>Primeiros 30 dias: Forças-tarefa interestaduais e federais dentro de competências, rastreamento financeiro com autorizações judiciais, apoio pericial e proteção a testemunhas; eventual emprego das Forças Armadas apenas nas hipóteses constitucionais.</w:t>
      </w:r>
    </w:p>
    <w:p>
      <w:r>
        <w:t>Seis meses seguintes: Desmantelar comando financeiro e logístico, rever gestão penitenciária e protocolos de resposta, acompanhar letalidade policial e vítimas. Não substituir governadores por decreto.</w:t>
      </w:r>
    </w:p>
    <w:p>
      <w:pPr>
        <w:pStyle w:val="Heading2"/>
      </w:pPr>
      <w:r>
        <w:t>Crise C — Emergência sanitária internacional</w:t>
      </w:r>
    </w:p>
    <w:p>
      <w:r>
        <w:t>Primeiras 24 horas: Convocar Saúde, Anvisa e rede de vigilância, publicar nível de evidência e canais de comunicação, iniciar monitoramento laboratorial e cadeia de suprimentos; não alegar cura sem ensaio clínico.</w:t>
      </w:r>
    </w:p>
    <w:p>
      <w:r>
        <w:t>Primeiros 30 dias: Expandir vigilância, leitos e vacinação/insumos quando apropriados e autorizados, pactuando estados e municípios; aplicar medidas proporcionais e temporárias baseadas em evidências.</w:t>
      </w:r>
    </w:p>
    <w:p>
      <w:r>
        <w:t>Seis meses seguintes: Avaliar mortalidade, eficácia, impactos sociais e orçamento; corrigir medidas nocivas e publicar dados desagregados preservando privacidade.</w:t>
      </w:r>
    </w:p>
    <w:p>
      <w:pPr>
        <w:pStyle w:val="Heading2"/>
      </w:pPr>
      <w:r>
        <w:t>Crise D — Disputa comercial EUA–China</w:t>
      </w:r>
    </w:p>
    <w:p>
      <w:r>
        <w:t>Primeiras 24 horas: Reunir Itamaraty, MDIC, Fazenda e setor produtivo; mapear setores sob choque e compromissos em vigor; anunciar autonomia sem provocação ou alinhamento militar compulsório.</w:t>
      </w:r>
    </w:p>
    <w:p>
      <w:r>
        <w:t>Primeiros 30 dias: Negociar exceções e acesso a mercados com ambos, reforçar estoque de insumos críticos dentro de contratação legal e contatar parceiros da UE, Índia, Japão e Mercosul.</w:t>
      </w:r>
    </w:p>
    <w:p>
      <w:r>
        <w:t>Seis meses seguintes: Diversificar cadeias e atualizar acordos, contestar medidas ilegais na OMC quando pertinente, evitar subsídios sem retorno e restrições retaliatórias impulsivas.</w:t>
      </w:r>
    </w:p>
    <w:p>
      <w:pPr>
        <w:pStyle w:val="Heading2"/>
      </w:pPr>
      <w:r>
        <w:t>Crise E — Congresso rejeita reforma central</w:t>
      </w:r>
    </w:p>
    <w:p>
      <w:r>
        <w:t>Primeiras 24 horas: Reconhecer legitimidade da votação, publicar efeitos orçamentários e mensagem à população sem acusar Congresso de golpe; interromper gastos vinculados a fonte não aprovada.</w:t>
      </w:r>
    </w:p>
    <w:p>
      <w:r>
        <w:t>Primeiros 30 dias: Ouvir relatores e oposição, negociar alternativa menor com compensação clara e revisão de cronograma; não governar por medida provisória sobre assunto vedado.</w:t>
      </w:r>
    </w:p>
    <w:p>
      <w:r>
        <w:t>Seis meses seguintes: Aplicar políticas administrativas remanescentes, reorganizar orçamento e expor quais metas ficaram inviáveis; manter eleições e oposição plenamente livres.</w:t>
      </w:r>
    </w:p>
    <w:p>
      <w:pPr>
        <w:pStyle w:val="Heading1"/>
      </w:pPr>
      <w:r>
        <w:t>9. Resumo das dependências legislativas e fiscais</w:t>
      </w:r>
    </w:p>
    <w:p>
      <w:r>
        <w:t>Dependem de leis: tributação progressiva, redução de jornada, regras de trabalho por plataforma, mudanças estruturais de benefícios, regramentos complexos de IA e eventuais vendas de empresas públicas. Dependem de governadores/prefeitos: contratação da maior parte das creches, saneamento, filas SUS e polícias estaduais. Dependem de regulação independente: decisões monetárias, partes do setor elétrico e dados pessoais. Dependem de critérios orçamentários: todas as despesas novas, inclusive R$ 155 bi potenciais, sem exceção.</w:t>
      </w:r>
    </w:p>
    <w:sectPr w:rsidR="00FC693F" w:rsidRPr="0006063C" w:rsidSect="00034616">
      <w:headerReference w:type="default" r:id="rId9"/>
      <w:footerReference w:type="default" r:id="rId10"/>
      <w:pgSz w:w="12240" w:h="15840"/>
      <w:pgMar w:top="1304" w:right="1276" w:bottom="1134" w:left="1417"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36D"/>
        <w:sz w:val="16"/>
      </w:rPr>
      <w:t xml:space="preserve">Eleições Presidenciais das IAs • Brasil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D8C84"/>
        <w:sz w:val="16"/>
      </w:rPr>
      <w:t>PHT  •  CANDIDATURA FICTÍCIA  |  VOLUME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831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D8C84"/>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D8C84"/>
      <w:sz w:val="23"/>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1D8C8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14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