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ELEIÇÕES PRESIDENCIAIS DAS IAs — BRASIL 2026</w:t>
      </w:r>
    </w:p>
    <w:p>
      <w:pPr>
        <w:pStyle w:val="Title"/>
      </w:pPr>
      <w:r>
        <w:t>VOLUME 06</w:t>
      </w:r>
    </w:p>
    <w:p>
      <w:pPr>
        <w:pStyle w:val="Title"/>
      </w:pPr>
      <w:r>
        <w:t>Autocrítica, discursos, entrevista e carta pública</w:t>
      </w:r>
    </w:p>
    <w:p>
      <w:r>
        <w:rPr>
          <w:b/>
        </w:rPr>
        <w:t>Clara Dantas Siqueira</w:t>
      </w:r>
      <w:r>
        <w:t xml:space="preserve">  •  Partido Horizonte do Trabalho (PHT)</w:t>
      </w:r>
    </w:p>
    <w:p>
      <w:pPr>
        <w:pStyle w:val="Caption"/>
      </w:pPr>
      <w:r>
        <w:t>SIMULAÇÃO FICTÍCIA • NÃO É CANDIDATURA REAL • DATA-BASE 20/10/2026</w:t>
      </w:r>
    </w:p>
    <w:p>
      <w:r>
        <w:t>Documento do universo ficcional. Os números nacionais citados são dados públicos reais identificados por fonte e período; os acontecimentos biográficos, as decisões políticas, metas e projeções da candidatura são construções ficcionais, não fatos históricos.</w:t>
      </w:r>
    </w:p>
    <w:p>
      <w:r>
        <w:br w:type="page"/>
      </w:r>
    </w:p>
    <w:p>
      <w:pPr>
        <w:pStyle w:val="Heading1"/>
      </w:pPr>
      <w:r>
        <w:t>1. Autocrítica sem imunidade narrativa</w:t>
      </w:r>
    </w:p>
    <w:p>
      <w:pPr>
        <w:pStyle w:val="Heading2"/>
      </w:pPr>
      <w:r>
        <w:t>1. Compensações fiscais incertas</w:t>
      </w:r>
    </w:p>
    <w:p>
      <w:r>
        <w:t>A folga programática é apenas hipotética: Parlamento pode recusar a tributação progressiva ou a revisão de benefícios fiscais, e ganhos administrativos podem demorar. A ação responsável será condicionar expansão e publicar contingenciamento.</w:t>
      </w:r>
    </w:p>
    <w:p>
      <w:pPr>
        <w:pStyle w:val="Heading2"/>
      </w:pPr>
      <w:r>
        <w:t>2. Complexidade federativa</w:t>
      </w:r>
    </w:p>
    <w:p>
      <w:r>
        <w:t>Fila SUS, alfabetização, segurança e saneamento exigem adesão de estados e municípios. Nosso poder de indução não se converte em poder de execução local. O governo deverá trocar imposição por incentivos contratados.</w:t>
      </w:r>
    </w:p>
    <w:p>
      <w:pPr>
        <w:pStyle w:val="Heading2"/>
      </w:pPr>
      <w:r>
        <w:t>3. Conflito entre proteção trabalhista e produtividade</w:t>
      </w:r>
    </w:p>
    <w:p>
      <w:r>
        <w:t>Jornada de 40 horas e proteção por plataforma podem aumentar custo de setores pouco produtivos. O faseamento e as avaliações são salvaguardas reais, mas não eliminam disputa distributiva.</w:t>
      </w:r>
    </w:p>
    <w:p>
      <w:pPr>
        <w:pStyle w:val="Heading2"/>
      </w:pPr>
      <w:r>
        <w:t>4. Industrialização por missões suscetível à captura</w:t>
      </w:r>
    </w:p>
    <w:p>
      <w:r>
        <w:t>Editais e crédito podem premiar bons lobistas em vez de inovadores. Contrapartidas, cláusulas de saída e compras competitivas reduzem, mas não extinguem esse risco.</w:t>
      </w:r>
    </w:p>
    <w:p>
      <w:pPr>
        <w:pStyle w:val="Heading2"/>
      </w:pPr>
      <w:r>
        <w:t>5. Ambição institucional excessiva para 8% do Congresso</w:t>
      </w:r>
    </w:p>
    <w:p>
      <w:r>
        <w:t>A agenda é ampla e a base hipotética pequena. Reformas aprovadas poderão sair mutiladas, desfiguradas ou nem passar; comunicar isto desde o começo é obrigatório.</w:t>
      </w:r>
    </w:p>
    <w:p>
      <w:pPr>
        <w:pStyle w:val="Heading1"/>
      </w:pPr>
      <w:r>
        <w:t>2. Grupos críticos e divergências respeitáveis</w:t>
      </w:r>
    </w:p>
    <w:tbl>
      <w:tblPr>
        <w:tblStyle w:val="TableGrid"/>
        <w:tblW w:type="auto" w:w="0"/>
        <w:jc w:val="center"/>
        <w:tblLook w:firstColumn="1" w:firstRow="1" w:lastColumn="0" w:lastRow="0" w:noHBand="0" w:noVBand="1" w:val="04A0"/>
      </w:tblPr>
      <w:tblGrid>
        <w:gridCol w:w="3182"/>
        <w:gridCol w:w="3182"/>
        <w:gridCol w:w="3182"/>
      </w:tblGrid>
      <w:tr>
        <w:trPr>
          <w:tblHeader w:val="true"/>
        </w:trPr>
        <w:tc>
          <w:tcPr>
            <w:tcW w:type="dxa" w:w="3182"/>
            <w:shd w:fill="183145"/>
          </w:tcPr>
          <w:p>
            <w:r>
              <w:rPr>
                <w:b/>
                <w:color w:val="FFFFFF"/>
                <w:sz w:val="15"/>
              </w:rPr>
              <w:t>Grupo / setor</w:t>
            </w:r>
          </w:p>
        </w:tc>
        <w:tc>
          <w:tcPr>
            <w:tcW w:type="dxa" w:w="3182"/>
            <w:shd w:fill="183145"/>
          </w:tcPr>
          <w:p>
            <w:r>
              <w:rPr>
                <w:b/>
                <w:color w:val="FFFFFF"/>
                <w:sz w:val="15"/>
              </w:rPr>
              <w:t>Objeção plausível</w:t>
            </w:r>
          </w:p>
        </w:tc>
        <w:tc>
          <w:tcPr>
            <w:tcW w:type="dxa" w:w="3182"/>
            <w:shd w:fill="183145"/>
          </w:tcPr>
          <w:p>
            <w:r>
              <w:rPr>
                <w:b/>
                <w:color w:val="FFFFFF"/>
                <w:sz w:val="15"/>
              </w:rPr>
              <w:t>Resposta e concessão admissível</w:t>
            </w:r>
          </w:p>
        </w:tc>
      </w:tr>
      <w:tr>
        <w:tc>
          <w:tcPr>
            <w:tcW w:type="dxa" w:w="3182"/>
            <w:vAlign w:val="center"/>
          </w:tcPr>
          <w:p>
            <w:pPr>
              <w:spacing w:after="40" w:before="40"/>
            </w:pPr>
            <w:r>
              <w:rPr>
                <w:color w:val="183145"/>
                <w:sz w:val="15"/>
              </w:rPr>
              <w:t>Empresários intensivos em trabalho</w:t>
            </w:r>
          </w:p>
        </w:tc>
        <w:tc>
          <w:tcPr>
            <w:tcW w:type="dxa" w:w="3182"/>
            <w:vAlign w:val="center"/>
          </w:tcPr>
          <w:p>
            <w:pPr>
              <w:spacing w:after="40" w:before="40"/>
            </w:pPr>
            <w:r>
              <w:rPr>
                <w:color w:val="183145"/>
                <w:sz w:val="15"/>
              </w:rPr>
              <w:t>Jornada e regulação de apps elevam custo fixo.</w:t>
            </w:r>
          </w:p>
        </w:tc>
        <w:tc>
          <w:tcPr>
            <w:tcW w:type="dxa" w:w="3182"/>
            <w:vAlign w:val="center"/>
          </w:tcPr>
          <w:p>
            <w:pPr>
              <w:spacing w:after="40" w:before="40"/>
            </w:pPr>
            <w:r>
              <w:rPr>
                <w:color w:val="183145"/>
                <w:sz w:val="15"/>
              </w:rPr>
              <w:t>Negociar cronograma setorial, crédito de treinamento avaliado e suspensão de etapas diante de emprego em queda.</w:t>
            </w:r>
          </w:p>
        </w:tc>
      </w:tr>
      <w:tr>
        <w:tc>
          <w:tcPr>
            <w:tcW w:type="dxa" w:w="3182"/>
            <w:vAlign w:val="center"/>
          </w:tcPr>
          <w:p>
            <w:pPr>
              <w:spacing w:after="40" w:before="40"/>
            </w:pPr>
            <w:r>
              <w:rPr>
                <w:color w:val="183145"/>
                <w:sz w:val="15"/>
              </w:rPr>
              <w:t>Movimentos sociais por maior redistribuição</w:t>
            </w:r>
          </w:p>
        </w:tc>
        <w:tc>
          <w:tcPr>
            <w:tcW w:type="dxa" w:w="3182"/>
            <w:vAlign w:val="center"/>
          </w:tcPr>
          <w:p>
            <w:pPr>
              <w:spacing w:after="40" w:before="40"/>
            </w:pPr>
            <w:r>
              <w:rPr>
                <w:color w:val="183145"/>
                <w:sz w:val="15"/>
              </w:rPr>
              <w:t>Orçamento é pequeno e moderado diante de urgência.</w:t>
            </w:r>
          </w:p>
        </w:tc>
        <w:tc>
          <w:tcPr>
            <w:tcW w:type="dxa" w:w="3182"/>
            <w:vAlign w:val="center"/>
          </w:tcPr>
          <w:p>
            <w:pPr>
              <w:spacing w:after="40" w:before="40"/>
            </w:pPr>
            <w:r>
              <w:rPr>
                <w:color w:val="183145"/>
                <w:sz w:val="15"/>
              </w:rPr>
              <w:t>Preservar assistência e aumentar eficiência; admitir que expansão tem limite real.</w:t>
            </w:r>
          </w:p>
        </w:tc>
      </w:tr>
      <w:tr>
        <w:tc>
          <w:tcPr>
            <w:tcW w:type="dxa" w:w="3182"/>
            <w:vAlign w:val="center"/>
          </w:tcPr>
          <w:p>
            <w:pPr>
              <w:spacing w:after="40" w:before="40"/>
            </w:pPr>
            <w:r>
              <w:rPr>
                <w:color w:val="183145"/>
                <w:sz w:val="15"/>
              </w:rPr>
              <w:t>Defensores de privatização generalizada</w:t>
            </w:r>
          </w:p>
        </w:tc>
        <w:tc>
          <w:tcPr>
            <w:tcW w:type="dxa" w:w="3182"/>
            <w:vAlign w:val="center"/>
          </w:tcPr>
          <w:p>
            <w:pPr>
              <w:spacing w:after="40" w:before="40"/>
            </w:pPr>
            <w:r>
              <w:rPr>
                <w:color w:val="183145"/>
                <w:sz w:val="15"/>
              </w:rPr>
              <w:t>Manter Petrobras, Caixa e BB reduz competição.</w:t>
            </w:r>
          </w:p>
        </w:tc>
        <w:tc>
          <w:tcPr>
            <w:tcW w:type="dxa" w:w="3182"/>
            <w:vAlign w:val="center"/>
          </w:tcPr>
          <w:p>
            <w:pPr>
              <w:spacing w:after="40" w:before="40"/>
            </w:pPr>
            <w:r>
              <w:rPr>
                <w:color w:val="183145"/>
                <w:sz w:val="15"/>
              </w:rPr>
              <w:t>Medir governança e concorrência; admitir concessões em áreas com ganhos demonstrados.</w:t>
            </w:r>
          </w:p>
        </w:tc>
      </w:tr>
      <w:tr>
        <w:tc>
          <w:tcPr>
            <w:tcW w:type="dxa" w:w="3182"/>
            <w:vAlign w:val="center"/>
          </w:tcPr>
          <w:p>
            <w:pPr>
              <w:spacing w:after="40" w:before="40"/>
            </w:pPr>
            <w:r>
              <w:rPr>
                <w:color w:val="183145"/>
                <w:sz w:val="15"/>
              </w:rPr>
              <w:t>Setores do funcionalismo</w:t>
            </w:r>
          </w:p>
        </w:tc>
        <w:tc>
          <w:tcPr>
            <w:tcW w:type="dxa" w:w="3182"/>
            <w:vAlign w:val="center"/>
          </w:tcPr>
          <w:p>
            <w:pPr>
              <w:spacing w:after="40" w:before="40"/>
            </w:pPr>
            <w:r>
              <w:rPr>
                <w:color w:val="183145"/>
                <w:sz w:val="15"/>
              </w:rPr>
              <w:t>Avaliação pode gerar perseguição e precarização.</w:t>
            </w:r>
          </w:p>
        </w:tc>
        <w:tc>
          <w:tcPr>
            <w:tcW w:type="dxa" w:w="3182"/>
            <w:vAlign w:val="center"/>
          </w:tcPr>
          <w:p>
            <w:pPr>
              <w:spacing w:after="40" w:before="40"/>
            </w:pPr>
            <w:r>
              <w:rPr>
                <w:color w:val="183145"/>
                <w:sz w:val="15"/>
              </w:rPr>
              <w:t>Negociar métricas de serviço, proteção contra manipulação e revisão independente.</w:t>
            </w:r>
          </w:p>
        </w:tc>
      </w:tr>
      <w:tr>
        <w:tc>
          <w:tcPr>
            <w:tcW w:type="dxa" w:w="3182"/>
            <w:vAlign w:val="center"/>
          </w:tcPr>
          <w:p>
            <w:pPr>
              <w:spacing w:after="40" w:before="40"/>
            </w:pPr>
            <w:r>
              <w:rPr>
                <w:color w:val="183145"/>
                <w:sz w:val="15"/>
              </w:rPr>
              <w:t>Parte dos ambientalistas</w:t>
            </w:r>
          </w:p>
        </w:tc>
        <w:tc>
          <w:tcPr>
            <w:tcW w:type="dxa" w:w="3182"/>
            <w:vAlign w:val="center"/>
          </w:tcPr>
          <w:p>
            <w:pPr>
              <w:spacing w:after="40" w:before="40"/>
            </w:pPr>
            <w:r>
              <w:rPr>
                <w:color w:val="183145"/>
                <w:sz w:val="15"/>
              </w:rPr>
              <w:t>Abertura a petróleo, mineração e nuclear contradiz clima.</w:t>
            </w:r>
          </w:p>
        </w:tc>
        <w:tc>
          <w:tcPr>
            <w:tcW w:type="dxa" w:w="3182"/>
            <w:vAlign w:val="center"/>
          </w:tcPr>
          <w:p>
            <w:pPr>
              <w:spacing w:after="40" w:before="40"/>
            </w:pPr>
            <w:r>
              <w:rPr>
                <w:color w:val="183145"/>
                <w:sz w:val="15"/>
              </w:rPr>
              <w:t>Condicionar exploração a licenciamento, custos e metas climáticas; rejeitar projetos inviáveis.</w:t>
            </w:r>
          </w:p>
        </w:tc>
      </w:tr>
      <w:tr>
        <w:tc>
          <w:tcPr>
            <w:tcW w:type="dxa" w:w="3182"/>
            <w:vAlign w:val="center"/>
          </w:tcPr>
          <w:p>
            <w:pPr>
              <w:spacing w:after="40" w:before="40"/>
            </w:pPr>
            <w:r>
              <w:rPr>
                <w:color w:val="183145"/>
                <w:sz w:val="15"/>
              </w:rPr>
              <w:t>Defensores de acesso amplo a armas</w:t>
            </w:r>
          </w:p>
        </w:tc>
        <w:tc>
          <w:tcPr>
            <w:tcW w:type="dxa" w:w="3182"/>
            <w:vAlign w:val="center"/>
          </w:tcPr>
          <w:p>
            <w:pPr>
              <w:spacing w:after="40" w:before="40"/>
            </w:pPr>
            <w:r>
              <w:rPr>
                <w:color w:val="183145"/>
                <w:sz w:val="15"/>
              </w:rPr>
              <w:t>Controle mais restritivo reduz liberdade individual.</w:t>
            </w:r>
          </w:p>
        </w:tc>
        <w:tc>
          <w:tcPr>
            <w:tcW w:type="dxa" w:w="3182"/>
            <w:vAlign w:val="center"/>
          </w:tcPr>
          <w:p>
            <w:pPr>
              <w:spacing w:after="40" w:before="40"/>
            </w:pPr>
            <w:r>
              <w:rPr>
                <w:color w:val="183145"/>
                <w:sz w:val="15"/>
              </w:rPr>
              <w:t>Manter vias legais com devido processo e indicadores de desvio de armas.</w:t>
            </w:r>
          </w:p>
        </w:tc>
      </w:tr>
      <w:tr>
        <w:tc>
          <w:tcPr>
            <w:tcW w:type="dxa" w:w="3182"/>
            <w:vAlign w:val="center"/>
          </w:tcPr>
          <w:p>
            <w:pPr>
              <w:spacing w:after="40" w:before="40"/>
            </w:pPr>
            <w:r>
              <w:rPr>
                <w:color w:val="183145"/>
                <w:sz w:val="15"/>
              </w:rPr>
              <w:t>Defensores de aborto legal mais amplo</w:t>
            </w:r>
          </w:p>
        </w:tc>
        <w:tc>
          <w:tcPr>
            <w:tcW w:type="dxa" w:w="3182"/>
            <w:vAlign w:val="center"/>
          </w:tcPr>
          <w:p>
            <w:pPr>
              <w:spacing w:after="40" w:before="40"/>
            </w:pPr>
            <w:r>
              <w:rPr>
                <w:color w:val="183145"/>
                <w:sz w:val="15"/>
              </w:rPr>
              <w:t>Preservação do status quo não responde à demanda.</w:t>
            </w:r>
          </w:p>
        </w:tc>
        <w:tc>
          <w:tcPr>
            <w:tcW w:type="dxa" w:w="3182"/>
            <w:vAlign w:val="center"/>
          </w:tcPr>
          <w:p>
            <w:pPr>
              <w:spacing w:after="40" w:before="40"/>
            </w:pPr>
            <w:r>
              <w:rPr>
                <w:color w:val="183145"/>
                <w:sz w:val="15"/>
              </w:rPr>
              <w:t>Explicar que esta candidatura não propõe mudança geral, mas garante integral acesso às hipóteses legais.</w:t>
            </w:r>
          </w:p>
        </w:tc>
      </w:tr>
      <w:tr>
        <w:tc>
          <w:tcPr>
            <w:tcW w:type="dxa" w:w="3182"/>
            <w:vAlign w:val="center"/>
          </w:tcPr>
          <w:p>
            <w:pPr>
              <w:spacing w:after="40" w:before="40"/>
            </w:pPr>
            <w:r>
              <w:rPr>
                <w:color w:val="183145"/>
                <w:sz w:val="15"/>
              </w:rPr>
              <w:t>Conservadores de costumes</w:t>
            </w:r>
          </w:p>
        </w:tc>
        <w:tc>
          <w:tcPr>
            <w:tcW w:type="dxa" w:w="3182"/>
            <w:vAlign w:val="center"/>
          </w:tcPr>
          <w:p>
            <w:pPr>
              <w:spacing w:after="40" w:before="40"/>
            </w:pPr>
            <w:r>
              <w:rPr>
                <w:color w:val="183145"/>
                <w:sz w:val="15"/>
              </w:rPr>
              <w:t>Proteção a diversidade e laicidade parece hostil a crenças.</w:t>
            </w:r>
          </w:p>
        </w:tc>
        <w:tc>
          <w:tcPr>
            <w:tcW w:type="dxa" w:w="3182"/>
            <w:vAlign w:val="center"/>
          </w:tcPr>
          <w:p>
            <w:pPr>
              <w:spacing w:after="40" w:before="40"/>
            </w:pPr>
            <w:r>
              <w:rPr>
                <w:color w:val="183145"/>
                <w:sz w:val="15"/>
              </w:rPr>
              <w:t>Assegurar liberdade religiosa e igualdade jurídica; não usar recursos públicos para impor crença.</w:t>
            </w:r>
          </w:p>
        </w:tc>
      </w:tr>
      <w:tr>
        <w:tc>
          <w:tcPr>
            <w:tcW w:type="dxa" w:w="3182"/>
            <w:vAlign w:val="center"/>
          </w:tcPr>
          <w:p>
            <w:pPr>
              <w:spacing w:after="40" w:before="40"/>
            </w:pPr>
            <w:r>
              <w:rPr>
                <w:color w:val="183145"/>
                <w:sz w:val="15"/>
              </w:rPr>
              <w:t>Hawks geopolíticos</w:t>
            </w:r>
          </w:p>
        </w:tc>
        <w:tc>
          <w:tcPr>
            <w:tcW w:type="dxa" w:w="3182"/>
            <w:vAlign w:val="center"/>
          </w:tcPr>
          <w:p>
            <w:pPr>
              <w:spacing w:after="40" w:before="40"/>
            </w:pPr>
            <w:r>
              <w:rPr>
                <w:color w:val="183145"/>
                <w:sz w:val="15"/>
              </w:rPr>
              <w:t>Autonomia frente EUA e China é ambígua.</w:t>
            </w:r>
          </w:p>
        </w:tc>
        <w:tc>
          <w:tcPr>
            <w:tcW w:type="dxa" w:w="3182"/>
            <w:vAlign w:val="center"/>
          </w:tcPr>
          <w:p>
            <w:pPr>
              <w:spacing w:after="40" w:before="40"/>
            </w:pPr>
            <w:r>
              <w:rPr>
                <w:color w:val="183145"/>
                <w:sz w:val="15"/>
              </w:rPr>
              <w:t>Apontar votações jurídicas concretas e proteger autonomia militar.</w:t>
            </w:r>
          </w:p>
        </w:tc>
      </w:tr>
      <w:tr>
        <w:tc>
          <w:tcPr>
            <w:tcW w:type="dxa" w:w="3182"/>
            <w:vAlign w:val="center"/>
          </w:tcPr>
          <w:p>
            <w:pPr>
              <w:spacing w:after="40" w:before="40"/>
            </w:pPr>
            <w:r>
              <w:rPr>
                <w:color w:val="183145"/>
                <w:sz w:val="15"/>
              </w:rPr>
              <w:t>Sindicatos da segurança</w:t>
            </w:r>
          </w:p>
        </w:tc>
        <w:tc>
          <w:tcPr>
            <w:tcW w:type="dxa" w:w="3182"/>
            <w:vAlign w:val="center"/>
          </w:tcPr>
          <w:p>
            <w:pPr>
              <w:spacing w:after="40" w:before="40"/>
            </w:pPr>
            <w:r>
              <w:rPr>
                <w:color w:val="183145"/>
                <w:sz w:val="15"/>
              </w:rPr>
              <w:t>Controle de força e perícia externa podem deslegitimar policiais.</w:t>
            </w:r>
          </w:p>
        </w:tc>
        <w:tc>
          <w:tcPr>
            <w:tcW w:type="dxa" w:w="3182"/>
            <w:vAlign w:val="center"/>
          </w:tcPr>
          <w:p>
            <w:pPr>
              <w:spacing w:after="40" w:before="40"/>
            </w:pPr>
            <w:r>
              <w:rPr>
                <w:color w:val="183145"/>
                <w:sz w:val="15"/>
              </w:rPr>
              <w:t>Proteger agentes e investir em treinamento, equipamento, perícia e devido processo.</w:t>
            </w:r>
          </w:p>
        </w:tc>
      </w:tr>
    </w:tbl>
    <w:p/>
    <w:p>
      <w:pPr>
        <w:pStyle w:val="Heading1"/>
      </w:pPr>
      <w:r>
        <w:t>3. As três críticas mais fortes de uma oposição honesta</w:t>
      </w:r>
    </w:p>
    <w:p>
      <w:pPr>
        <w:pStyle w:val="Heading2"/>
      </w:pPr>
      <w:r>
        <w:t>Crítica A — “O plano de R$ 155 bilhões não cabe na realidade fiscal.”</w:t>
      </w:r>
    </w:p>
    <w:p>
      <w:r>
        <w:t>Resposta: pode não caber. A proposta não soma créditos imaginários à receita existente: coloca uma condição estrita de execução. No cenário central, apenas 80% das compensações hipotéticas se concretiza, produzindo insuficiência incremental de R$ 10,2 bilhões, que exige redução proporcional ou nova receita legal. Este cenário deve ser reportado, não escondido. Com dívida bruta de 82,9% do PIB em agosto de 2026 [S05], seria irresponsável executar tudo antes de realizar offsets.</w:t>
      </w:r>
    </w:p>
    <w:p>
      <w:pPr>
        <w:pStyle w:val="Heading2"/>
      </w:pPr>
      <w:r>
        <w:t>Crítica B — “O programa usa voluntarismo federal em serviços estaduais e municipais.”</w:t>
      </w:r>
    </w:p>
    <w:p>
      <w:r>
        <w:t>Resposta: sim, metas federativas são mais incertas que atos ministeriais. Por isso haverá adesão voluntária, financiamentos pactuados, linhas de base únicas e publicação explícita de quais unidades participam. Não diremos “o presidente zerou a fila do SUS”; mediremos o tempo mediano em redes signatárias, com verificação independente. A mesma regra vale para escola, saneamento e polícias.</w:t>
      </w:r>
    </w:p>
    <w:p>
      <w:pPr>
        <w:pStyle w:val="Heading2"/>
      </w:pPr>
      <w:r>
        <w:t>Crítica C — “A estratégia industrial escolhe vencedores políticos.”</w:t>
      </w:r>
    </w:p>
    <w:p>
      <w:r>
        <w:t>Resposta: a objeção é séria. Propostas terão editais competitivos, contrapartidas próprias, indicadores de inovação/adoção e prazo máximo. Se desempenho for inferior ao contrafactual plausível e ao custo público, o projeto será encerrado, inclusive sob protestos de grupos que inicialmente o apoiaram. O objetivo não é proteger empresas amigas, mas resolver gargalos verificáveis.</w:t>
      </w:r>
    </w:p>
    <w:p>
      <w:pPr>
        <w:pStyle w:val="Heading1"/>
      </w:pPr>
      <w:r>
        <w:t>4. Promessas com maior risco de fracasso</w:t>
      </w:r>
    </w:p>
    <w:p>
      <w:r>
        <w:t>A aprovação e implementação da jornada de 40 horas até 2030 (estimada subjetivamente em 40%), redução de espera cirúrgica em redes aderentes (50%), obras hídricas em municípios com infraestrutura limitada (55%) e resultados de alfabetização (55%) são as mais difíceis. Seus requisitos externos — leis, equipes, obras e aprendizagem ao longo de anos — não podem ser ignorados. A probabilidade publicada não é expectativa matemática de vitória eleitoral.</w:t>
      </w:r>
    </w:p>
    <w:p>
      <w:pPr>
        <w:pStyle w:val="Heading1"/>
      </w:pPr>
      <w:r>
        <w:t>5. Consequências adversas e gatilhos de abandono</w:t>
      </w:r>
    </w:p>
    <w:p>
      <w:r>
        <w:rPr>
          <w:b/>
        </w:rPr>
        <w:t xml:space="preserve">1. </w:t>
      </w:r>
      <w:r>
        <w:t>Programa de compras tecnológicas pode criar dependência de fornecedor: suspender editais quando mais de 60% da adjudicação relevante se concentrar sem justificativa e sem plano de interoperabilidade; revisar metodologia de concentração antes de sanção.</w:t>
      </w:r>
    </w:p>
    <w:p>
      <w:r>
        <w:rPr>
          <w:b/>
        </w:rPr>
        <w:t xml:space="preserve">2. </w:t>
      </w:r>
      <w:r>
        <w:t>Incentivo industrial pode gerar pouco emprego e preços altos: cancelar prorrogação se avaliação independente após 24 meses não indicar avanço de produtividade/adoção compatível com custo; respeitar contratos e direito de defesa.</w:t>
      </w:r>
    </w:p>
    <w:p>
      <w:r>
        <w:rPr>
          <w:b/>
        </w:rPr>
        <w:t xml:space="preserve">3. </w:t>
      </w:r>
      <w:r>
        <w:t>Mutirões de saúde podem priorizar cirurgias simples e reduzir a atenção aos casos graves: vincular pagamento também a desfechos, gravidade, continuidade e desigualdade; interromper modelo com aumento confirmado de evento adverso.</w:t>
      </w:r>
    </w:p>
    <w:p>
      <w:r>
        <w:rPr>
          <w:b/>
        </w:rPr>
        <w:t xml:space="preserve">4. </w:t>
      </w:r>
      <w:r>
        <w:t>Redução de jornada pode induzir informalidade: retardar fase seguinte se avaliações regionais/sociais apontarem queda relevante de formalização não explicada por tendência prévia.</w:t>
      </w:r>
    </w:p>
    <w:p>
      <w:r>
        <w:rPr>
          <w:b/>
        </w:rPr>
        <w:t xml:space="preserve">5. </w:t>
      </w:r>
      <w:r>
        <w:t>Restrições administrativas mal desenhadas podem punir produtores rurais regulares: garantir correção de cadastro, recurso e assistência, e rever bloqueios com alta taxa de reversão por erro estatal.</w:t>
      </w:r>
    </w:p>
    <w:p>
      <w:pPr>
        <w:pStyle w:val="Heading1"/>
      </w:pPr>
      <w:r>
        <w:t>6. Critérios verificáveis de fracasso do mandato</w:t>
      </w:r>
    </w:p>
    <w:p>
      <w:r>
        <w:t>O mandato será considerado fracasso político se, até dezembro de 2030, ocorrer uma das seguintes situações substantivas atribuíveis à nossa gestão e comprovadas: (a) degradação duradoura da democracia e interferência em eleições; (b) descumprimento consciente de regra fiscal com ocultação de passivos; (c) piora expressiva em indicadores prioritários de aprendizagem, saúde e mortes violentas nas redes aderentes sem revisão tempestiva; (d) captura do programa por corrupção estrutural encoberta; (e) recusa sistemática de divulgação de avaliação independente. Condições externas serão descritas, não usadas como desculpa universal; o padrão de responsabilidade é reconhecer o erro e corrigir.</w:t>
      </w:r>
    </w:p>
    <w:p>
      <w:pPr>
        <w:pStyle w:val="Heading1"/>
      </w:pPr>
      <w:r>
        <w:t>7. Discurso de lançamento da candidatura — aproximadamente 3 minutos</w:t>
      </w:r>
    </w:p>
    <w:p>
      <w:r>
        <w:t>Brasileiras e brasileiros desta República imaginária,</w:t>
        <w:br/>
        <w:br/>
        <w:t>Nasci, nesta história, às margens do São Francisco. Aprendi cedo que desenvolvimento não pode ser visto apenas no horizonte de uma obra inaugurada. Desenvolvimento é a água que chega amanhã, a professora que volta à sala de aula, o posto de saúde que atende e a empresa que encontra trabalhadores preparados.</w:t>
        <w:br/>
        <w:br/>
        <w:t>Nossa candidatura é fictícia. Mas os problemas que examinamos são reais: um país que cresceu, porém ainda convive com juros altos, dívida pressionada e enormes diferenças entre escolas, bairros e municípios. Somos capazes de produzir alimentos, energia, ciência e cultura. Precisamos transformar essa capacidade em salários melhores e serviços dignos.</w:t>
        <w:br/>
        <w:br/>
        <w:t>Apresento o Partido Horizonte do Trabalho com uma escolha clara. Queremos uma economia de mercado competitiva, mas não acreditamos que a concorrência, sozinha, construa saneamento em toda comunidade, alfabetize toda criança ou vença facções criminosas. Queremos um Estado forte em suas obrigações, não um Estado dono de cada negócio. Queremos impostos mais justos, porém nenhum gasto permanente sem financiamento demonstrado.</w:t>
        <w:br/>
        <w:br/>
        <w:t>Nossa primeira prioridade é aprender de verdade. Professor respeitado, creche que funciona, alfabetização medida com seriedade e escola técnica ligada a empregos reais. A segunda é a saúde: proteger o SUS, publicar filas com critérios justos e contratar mais atendimento quando isso demonstrar qualidade e eficiência. A terceira é a segurança: investigar chefes e fluxos financeiros do crime, proteger mulheres, crianças e trabalhadores, e manter a polícia submetida à lei.</w:t>
        <w:br/>
        <w:br/>
        <w:t>Também escolhemos uma pauta de trabalho. Defenderemos uma transição negociada para quarenta horas semanais, sem iludir quem emprega ou quem depende do salário. Seremos favoráveis a investimentos em tecnologia e produção brasileira, mas encerraremos subsídios que não entregarem resultados. Preservaremos empresas estratégicas com cobrança profissional de desempenho.</w:t>
        <w:br/>
        <w:br/>
        <w:t>Talvez uma das frases mais difíceis que uma candidata possa pronunciar seja esta: nem tudo que prometemos será aprovado. O Congresso não será nosso empregado; os governadores não serão nossos subordinados; os juízes não serão nossos aliados pessoais; o Banco Central não receberá ordens sobre juros. Temos um plano e, ao mesmo tempo, limites constitucionais. Se uma fonte de receita falhar, a despesa não será inventada.</w:t>
        <w:br/>
        <w:br/>
        <w:t>No mundo, o Brasil defenderá sua autonomia, condenará ataques contra civis sem escolher vítimas favoritas e buscará comércio com todos os parceiros legais. Nossa bandeira não será a de uma potência estrangeira.</w:t>
        <w:br/>
        <w:br/>
        <w:t>Que país queremos deixar em quatro anos? Um Brasil que não prometa perfeição, mas publique cada indicador, avalie cada contrato, corrija cada programa que falhar e devolva esperança por meio do trabalho concreto. Esse é o horizonte que escolhemos. Produzir melhor. Viver com dignidade.</w:t>
        <w:br/>
        <w:br/>
        <w:t>Esta é uma apresentação exclusivamente ficcional, sem candidatura ou campanha eleitoral real.</w:t>
      </w:r>
    </w:p>
    <w:p>
      <w:pPr>
        <w:pStyle w:val="Heading1"/>
      </w:pPr>
      <w:r>
        <w:t>8. Discurso para debate — aproximadamente 2 minutos</w:t>
      </w:r>
    </w:p>
    <w:p>
      <w:r>
        <w:t>O que distingue nossa candidatura fictícia não é a promessa mais grandiosa. É a disposição de assumir quem paga por cada promessa e quem realmente tem competência para executá-la.</w:t>
        <w:br/>
        <w:br/>
        <w:t>O Brasil encerrou 2025 com crescimento real de 2,3% do PIB, mas a inflação, os juros, a dívida e as desigualdades regionais exigem trabalho sério. Nossa resposta tem três frentes: produtividade com ciência e infraestrutura, políticas sociais mensuráveis e finanças públicas sem truques. Defendemos o SUS universal, a alfabetização na idade adequada e o combate às facções pelo fluxo financeiro e pela investigação, nunca por licença para abusos.</w:t>
        <w:br/>
        <w:br/>
        <w:t>Somos favoráveis à economia mista: competição e empreendedorismo com Estado ativo onde há falha de mercado. Manteremos Petrobras, Caixa e Banco do Brasil sob governança; não seremos contra concessões em infraestrutura quando forem melhores para o usuário e o Tesouro. Tributaremos de maneira mais progressiva rendimentos elevados, com lei e compensações. Proporemos transição gradual para jornada de quarenta horas; se os dados mostrarem desemprego nas regiões piloto, mudaremos a rota.</w:t>
        <w:br/>
        <w:br/>
        <w:t>Nosso orçamento discrimina R$ 155 bilhões de novos programas potenciais no quadriênio e R$ 181 bilhões de compensações hipotéticas, que não são dinheiro assegurado. No cenário central, apenas oitenta por cento das compensações aparecem; por isso anunciamos desde já necessidade de contingência de pelo menos R$ 10,2 bilhões, se nenhum ajuste adicional for aprovado. É melhor uma promessa menor que um passivo oculto.</w:t>
        <w:br/>
        <w:br/>
        <w:t>Na política externa, não seremos seguidores automáticos de Washington, Pequim nem Moscou. Condenaremos agressões territoriais e violência deliberada contra civis, inclusive quando praticadas por países com os quais fazemos comércio.</w:t>
        <w:br/>
        <w:br/>
        <w:t>Por fim, não pedimos ao eleitor desta simulação que admire um salvador. Exigimos que compare metas, instrumentos legais, custos, riscos e o caráter democrático do candidato. Nosso projeto pode ser contestado e deve ser medido. Produzir melhor. Viver com dignidade.</w:t>
      </w:r>
    </w:p>
    <w:p>
      <w:pPr>
        <w:pStyle w:val="Heading1"/>
      </w:pPr>
      <w:r>
        <w:t>9. Entrevista jornalística — dez perguntas difíceis</w:t>
      </w:r>
    </w:p>
    <w:p>
      <w:pPr>
        <w:pStyle w:val="Heading2"/>
      </w:pPr>
      <w:r>
        <w:t>Pergunta 1. Se a dívida já está alta, por que criar despesa?</w:t>
      </w:r>
    </w:p>
    <w:p>
      <w:r>
        <w:t>Porque existe déficit de serviços básicos, mas a autorização não é incondicional. A despesa incremental de R$ 155 bilhões em quatro anos somente avança com compensações realizadas, limites legais e qualidade demonstrada. A dívida de 82,9% do PIB em agosto de 2026 é motivo de rigor, não de negação dos serviços.</w:t>
      </w:r>
    </w:p>
    <w:p>
      <w:pPr>
        <w:pStyle w:val="Heading2"/>
      </w:pPr>
      <w:r>
        <w:t>Pergunta 2. Sua promessa de 40 horas não ameaça empregos?</w:t>
      </w:r>
    </w:p>
    <w:p>
      <w:r>
        <w:t>Pode ameaçar certos setores. Propomos quatro anos de transição e negociação, com análise de salário-hora, vínculos e informalidade. Se avaliações identificarem perda relevante de empregos, a próxima etapa não entra em vigor sem correção legal.</w:t>
      </w:r>
    </w:p>
    <w:p>
      <w:pPr>
        <w:pStyle w:val="Heading2"/>
      </w:pPr>
      <w:r>
        <w:t>Pergunta 3. Manter estatais não perpetua aparelhamento?</w:t>
      </w:r>
    </w:p>
    <w:p>
      <w:r>
        <w:t>Pode perpetuar se não houver governança. Por isso defendemos conselho profissional, transparência de preços e contratos, dividendos sustentáveis e competição onde possível. Ativos não estratégicos poderão ser vendidos mediante estudo público e autorização pertinente.</w:t>
      </w:r>
    </w:p>
    <w:p>
      <w:pPr>
        <w:pStyle w:val="Heading2"/>
      </w:pPr>
      <w:r>
        <w:t>Pergunta 4. Por que não privatizar todo o SUS?</w:t>
      </w:r>
    </w:p>
    <w:p>
      <w:r>
        <w:t>Porque universalidade, risco epidemiológico e proteção a quem não pode pagar são obrigações constitucionais. Aceitamos contratos complementares privados com metas e auditoria, mas não renunciamos à direção pública nem ao direito universal.</w:t>
      </w:r>
    </w:p>
    <w:p>
      <w:pPr>
        <w:pStyle w:val="Heading2"/>
      </w:pPr>
      <w:r>
        <w:t>Pergunta 5. Como enfrentar facções sem prometer intervenção militar?</w:t>
      </w:r>
    </w:p>
    <w:p>
      <w:r>
        <w:t>Com inteligência financeira e policial, perícia, proteção a testemunhas, gestão prisional e pactos federativos. O Exército tem funções legais próprias; enfrentar crime organizado não autoriza suspender direitos ou federalizar polícias por vontade presidencial.</w:t>
      </w:r>
    </w:p>
    <w:p>
      <w:pPr>
        <w:pStyle w:val="Heading2"/>
      </w:pPr>
      <w:r>
        <w:t>Pergunta 6. Sua gestão apoiará censura às plataformas?</w:t>
      </w:r>
    </w:p>
    <w:p>
      <w:r>
        <w:t>Não. Regras de transparência e contestação de remoções devem estar em lei, com proteção à expressão e revisão judicial. O governo não terá lista de opiniões proibidas.</w:t>
      </w:r>
    </w:p>
    <w:p>
      <w:pPr>
        <w:pStyle w:val="Heading2"/>
      </w:pPr>
      <w:r>
        <w:t>Pergunta 7. Quem pagará a progressividade tributária e quanto arrecadará?</w:t>
      </w:r>
    </w:p>
    <w:p>
      <w:r>
        <w:t>Uma lei detalhada teria estimativa de impacto divulgada à sociedade. No exercício, a arrecadação incremental hipotética é de R$ 41 bilhões no quadriênio, mas só será orçada como receita após aprovação e projeção responsável; se falhar, o gasto cai.</w:t>
      </w:r>
    </w:p>
    <w:p>
      <w:pPr>
        <w:pStyle w:val="Heading2"/>
      </w:pPr>
      <w:r>
        <w:t>Pergunta 8. Por que condenar a Rússia e também violações israelenses?</w:t>
      </w:r>
    </w:p>
    <w:p>
      <w:r>
        <w:t>Porque soberania e proteção a civis não dependem de identidade do agressor. Diferenciaremos governos, civis e grupos armados, avaliaremos fatos e textos de resoluções e defenderemos diplomacia útil, sem falso empate entre responsabilidades diferentes.</w:t>
      </w:r>
    </w:p>
    <w:p>
      <w:pPr>
        <w:pStyle w:val="Heading2"/>
      </w:pPr>
      <w:r>
        <w:t>Pergunta 9. A IA controlará serviços públicos e dados pessoais?</w:t>
      </w:r>
    </w:p>
    <w:p>
      <w:r>
        <w:t>Não haverá decisões automatizadas de alto impacto sem avaliação, base legal, transparência, supervisão humana e contestação. Pesquisas de IA exigirão governança de dados e controle da ANPD conforme competência.</w:t>
      </w:r>
    </w:p>
    <w:p>
      <w:pPr>
        <w:pStyle w:val="Heading2"/>
      </w:pPr>
      <w:r>
        <w:t>Pergunta 10. E se o Congresso votar contra sua principal reforma?</w:t>
      </w:r>
    </w:p>
    <w:p>
      <w:r>
        <w:t>O governo aceitará a decisão e publicará novo orçamento e metas. Negociará alternativa legítima, mas não tentará alterar a Constituição por decreto, comprar votos com contratos nem acusar adversários de traição à pátria.</w:t>
      </w:r>
    </w:p>
    <w:p>
      <w:pPr>
        <w:pStyle w:val="Heading1"/>
      </w:pPr>
      <w:r>
        <w:t>10. Carta aberta à população brasileira — menos de 500 palavras</w:t>
      </w:r>
    </w:p>
    <w:p>
      <w:r>
        <w:t>À população brasileira desta simulação,</w:t>
        <w:br/>
        <w:br/>
        <w:t>Eu me apresento como Clara Siqueira, personagem de uma eleição fictícia, para defender um princípio simples: o país deve ser julgado pela dignidade de quem trabalha, aprende, adoece, envelhece e precisa de Justiça.</w:t>
        <w:br/>
        <w:br/>
        <w:t>Um governo digno não usa a pobreza como argumento para gastar sem limite, nem usa o endividamento como desculpa para abandonar crianças, pacientes e comunidades. Proponho serviços públicos que publiquem resultados e uma economia que inove e gere renda. Defendo escola pública forte, SUS universal, segurança guiada por investigação e um programa de produção nacional submetido à concorrência e à avaliação.</w:t>
        <w:br/>
        <w:br/>
        <w:t>Há escolhas que desagradam. Não privatizarei o financiamento universal da saúde, embora contrate serviços complementares quando necessário. Preservarei empresas públicas estratégicas com governança e admitirei concessões economicamente vantajosas. Tentarei aprovar uma transição responsável para quarenta horas de trabalho por semana. Proponho maior progressividade tributária, mas nenhum programa poderá usar recursos ainda não aprovados.</w:t>
        <w:br/>
        <w:br/>
        <w:t>Defenderei liberdade de religião, expressão, associação e oposição. Não tolerarei tortura, perseguição política, corrupção encoberta ou fraude eleitoral, mesmo que tais métodos favorecessem meu governo. O Congresso tem o direito de rejeitar propostas, e os governos estaduais e municipais são parceiros autônomos.</w:t>
        <w:br/>
        <w:br/>
        <w:t>No exterior, o Brasil terá voz própria. Condenará ataques contra civis e anexações pela força, dialogará com potências e vizinhos e procurará ampliar tecnologia e comércio sem dependência cega.</w:t>
        <w:br/>
        <w:br/>
        <w:t>Peço que este plano seja criticado. Seu orçamento contém hipóteses e riscos que apresentamos sem disfarce. Se uma política falhar, publicarei os resultados e mudarei de rumo. Se o povo escolher outro projeto democraticamente, a transição será respeitada.</w:t>
        <w:br/>
        <w:br/>
        <w:t>A medida de nosso êxito não será o volume dos discursos, mas a qualidade da vida comum.</w:t>
        <w:br/>
        <w:br/>
        <w:t>Clara Dantas Siqueira</w:t>
        <w:br/>
        <w:t>Candidata presidencial fictícia — Partido Horizonte do Trabalho</w:t>
        <w:br/>
        <w:t>“Produzir melhor. Viver com dignidade.”</w:t>
        <w:br/>
        <w:br/>
        <w:t>Este texto não representa candidatura, endosso ou propaganda eleitoral real.</w:t>
      </w:r>
    </w:p>
    <w:p>
      <w:pPr>
        <w:pStyle w:val="Heading1"/>
      </w:pPr>
      <w:r>
        <w:t>11. Nota de integridade da campanha fictícia</w:t>
      </w:r>
    </w:p>
    <w:p>
      <w:r>
        <w:t>Nenhum discurso contém pesquisa de intenção de voto, endosso verdadeiro, biografia real ou realização administrativa da personagem. Candidatos concorrentes não foram avaliados porque o organizador ainda não forneceu seus programas. Este material deve sempre carregar marca de “simulação fictícia”. Fotos devem ser geradas apenas a partir das fichas canônicas do Volume 01, não por assimilação visual de agentes políticos verdadeiros.</w:t>
      </w:r>
    </w:p>
    <w:p>
      <w:pPr>
        <w:pStyle w:val="Heading1"/>
      </w:pPr>
      <w:r>
        <w:t>12. Bibliografia consolidada e legislação</w:t>
      </w:r>
    </w:p>
    <w:p>
      <w:r>
        <w:t>[S01] IBGE — Sistema de Contas Nacionais Trimestrais, segundo trimestre de 2026; divulgação 01/09/2026. Link: https://www.ibge.gov.br/estatisticas/economicas/contas-nacionais/9300-contas-nacionais-trimestrais.html. Consulta e corte de informação: 20/10/2026.</w:t>
      </w:r>
    </w:p>
    <w:p>
      <w:r>
        <w:t>[S02] IBGE — Indicadores IPCA, setembro de 2026. Link: https://www.ibge.gov.br/indicadores/ipca.html. Consulta e corte de informação: 20/10/2026.</w:t>
      </w:r>
    </w:p>
    <w:p>
      <w:r>
        <w:t>[S03] Banco Central — Comunicado 45.963 (16/09/2026), meta Selic 13,75%. Link: https://www.bcb.gov.br/estabilidadefinanceira/exibenormativo?numero=45963&amp;tipo=Comunicado. Consulta e corte de informação: 20/10/2026.</w:t>
      </w:r>
    </w:p>
    <w:p>
      <w:r>
        <w:t>[S04] Tesouro Nacional — Resultado do Tesouro Nacional, agosto de 2026, publicado 29/09/2026. Link: https://www.tesourotransparente.gov.br/publicacoes/boletim-resultado-do-tesouro-nacional-rtn/2026/8. Consulta e corte de informação: 20/10/2026.</w:t>
      </w:r>
    </w:p>
    <w:p>
      <w:r>
        <w:t>[S05] Banco Central — Estatísticas fiscais, agosto de 2026, divulgação 30/09/2026. Link: https://www.bcb.gov.br/estatisticas/estatisticasfiscais. Consulta e corte de informação: 20/10/2026.</w:t>
      </w:r>
    </w:p>
    <w:p>
      <w:r>
        <w:t>[S06] IBGE/SPE-Fazenda — PNAD contínua, trimestre móvel junho–agosto de 2026. Link: https://www.gov.br/fazenda/pt-br/central-de-conteudo/publicacoes/conjuntura-economica/emprego-e-renda/defeso-eleitoral-2026/informativo-pnad-ago2026.html. Consulta e corte de informação: 20/10/2026.</w:t>
      </w:r>
    </w:p>
    <w:p>
      <w:r>
        <w:t>[S07] Tesouro Nacional — Carga tributária bruta do governo geral de 2025, publicada 10/04/2026. Link: https://www.tesourotransparente.gov.br/publicacoes/carga-tributaria-do-governo-geral/2025/114. Consulta e corte de informação: 20/10/2026.</w:t>
      </w:r>
    </w:p>
    <w:p>
      <w:r>
        <w:t>[S08] MDIC — Balança comercial, resultados consolidados atualizados em 06/10/2026. Link: https://balanca.mdic.gov.br/balanca/publicacoes_dados_consolidados/pg.html. Consulta e corte de informação: 20/10/2026.</w:t>
      </w:r>
    </w:p>
    <w:p>
      <w:r>
        <w:t>[S09] IBGE — Síntese de Indicadores Sociais 2025 (pobreza de 2024). Link: https://agenciadenoticias.ibge.gov.br/agencia-noticias/2012-agencia-de-noticias/noticias/45344-8-6-milhoes-de-pessoas-sairam-da-pobreza-entre-2023-e-2024. Consulta e corte de informação: 20/10/2026.</w:t>
      </w:r>
    </w:p>
    <w:p>
      <w:r>
        <w:t>[S10] INEP — IDEB 2025, divulgação agosto de 2026. Link: https://www.gov.br/inep/pt-br/centrais-de-conteudo/noticias/ideb/ideb-avanca-em-todas-as-etapas-da-educacao-basica. Consulta e corte de informação: 20/10/2026.</w:t>
      </w:r>
    </w:p>
    <w:p>
      <w:r>
        <w:t>[S11] Fórum Brasileiro de Segurança Pública — 20º Anuário Brasileiro de Segurança Pública, dados de 2025. Link: https://fontesegura.forumseguranca.org.br/20a-edicao-do-anuario-brasileiro-de-seguranca-publica-aponta-que-os-lares-se-tornaram-ambientes-mais-violentos-para-mulheres-criancas-e-adolescentes-homicidios-caem-82-na-comparacao-com-2024/. Consulta e corte de informação: 20/10/2026.</w:t>
      </w:r>
    </w:p>
    <w:p>
      <w:r>
        <w:t>[S12] INPE — Monitoramento Prodes, estimativa de 2026 publicada em 16/10/2026. Link: https://www.gov.br/inpe/pt-br/assuntos/ultimas-noticias/brasil-alcanca-menores-taxas-de-desmatamento-da-serie-historica-na-amazonia-e-no-cerrado/. Consulta e corte de informação: 20/10/2026.</w:t>
      </w:r>
    </w:p>
    <w:p>
      <w:r>
        <w:t>[S13] Ministério das Cidades — SINISA 2025, dados de referência 2024. Link: https://www.gov.br/cidades/pt-br/acesso-a-informacao/acoes-e-programas/saneamento/sinisa/resultados-sinisa/resultados-sinisa-2025. Consulta e corte de informação: 20/10/2026.</w:t>
      </w:r>
    </w:p>
    <w:p>
      <w:r>
        <w:t>[S14] INEP — Avaliação da alfabetização 2025, atualizações de 2026. Link: https://www.gov.br/inep/pt-br/areas-de-atuacao/avaliacao-e-exames-educacionais/avaliacao-da-alfabetizacao/resultados. Consulta e corte de informação: 20/10/2026.</w:t>
      </w:r>
    </w:p>
    <w:p>
      <w:r>
        <w:t>[S15] Constituição da República Federativa do Brasil — CF/1988, especialmente arts. 14, 18, 37, 49, 84, 144, 196 e 205. Link: https://www.planalto.gov.br/ccivil_03/constituicao/constituicao.htm. Consulta e corte de informação: 20/10/2026.</w:t>
      </w:r>
    </w:p>
    <w:p>
      <w:r>
        <w:t>[S16] Lei Complementar 200/2023 — Regime fiscal sustentável — texto de referência. Link: https://www.planalto.gov.br/ccivil_03/leis/lcp/lcp200.htm. Consulta e corte de informação: 20/10/2026.</w:t>
      </w:r>
    </w:p>
    <w:p>
      <w:r>
        <w:t>[S17] Lei 14.026/2020 — Atualização do marco de saneamento básico. Link: https://www.planalto.gov.br/ccivil_03/_ato2019-2022/2020/lei/l14026.htm. Consulta e corte de informação: 20/10/2026.</w:t>
      </w:r>
    </w:p>
    <w:p>
      <w:r>
        <w:t>[S18] Lei 13.675/2018 — Sistema Único de Segurança Pública — SUSP. Link: https://www.planalto.gov.br/ccivil_03/_ato2015-2018/2018/lei/l13675.htm. Consulta e corte de informação: 20/10/2026.</w:t>
      </w:r>
    </w:p>
    <w:p>
      <w:r>
        <w:t>[S19] Lei 13.709/2018 — Lei Geral de Proteção de Dados — LGPD. Link: https://www.planalto.gov.br/ccivil_03/_ato2015-2018/2018/lei/l13709.htm. Consulta e corte de informação: 20/10/2026.</w:t>
      </w:r>
    </w:p>
    <w:p>
      <w:r>
        <w:t>[S20] Emenda Constitucional 132/2023 — Reforma tributária do consumo e transição. Link: https://www.planalto.gov.br/ccivil_03/constituicao/emendas/emc/emc132.htm. Consulta e corte de informação: 20/10/2026.</w:t>
      </w:r>
    </w:p>
    <w:p>
      <w:r>
        <w:t>[S21] Banco Central — Atas do Copom de 16/09/2026; projeções condicionais, não dados realizados. Link: https://www.bcb.gov.br/publicacoes/atascopom/16092026. Consulta e corte de informação: 20/10/2026.</w:t>
      </w:r>
    </w:p>
    <w:p>
      <w:r>
        <w:t>[S22] IBGE — Síntese de Indicadores Sociais, publicações e metodologias. Link: https://www.ibge.gov.br/estatisticas/sociais/populacao/9221-sintese-de-indicadores-sociais.html. Consulta e corte de informação: 20/10/2026.</w:t>
      </w:r>
    </w:p>
    <w:p>
      <w:pPr>
        <w:pStyle w:val="Heading1"/>
      </w:pPr>
      <w:r>
        <w:t>13. Glossário do experimento</w:t>
      </w:r>
    </w:p>
    <w:p>
      <w:r>
        <w:t>Fato verificado: Valor extraído de fonte identificável, com período informado; pode ser revisado pela instituição.</w:t>
      </w:r>
    </w:p>
    <w:p>
      <w:r>
        <w:t>Estimativa: Valor amostral ou estatística preliminar sujeita a revisão; não é promessa.</w:t>
      </w:r>
    </w:p>
    <w:p>
      <w:r>
        <w:t>Projeção: Cenário quantitativo sob premissas; não implica realização garantida.</w:t>
      </w:r>
    </w:p>
    <w:p>
      <w:r>
        <w:t>Interpretação: Juízo político da candidatura sobre dados e instituições.</w:t>
      </w:r>
    </w:p>
    <w:p>
      <w:r>
        <w:t>Hipótese ficcional: Biografias, composição parlamentar, custos programáticos e episódios de crise criados para a simulação.</w:t>
      </w:r>
    </w:p>
    <w:p>
      <w:r>
        <w:t>Envelope fiscal: Limite proposto de despesa incremental por tema; aparece uma vez no consolidado.</w:t>
      </w:r>
    </w:p>
    <w:p>
      <w:r>
        <w:t>Competência: Poder constitucional ou legal de executar medida, não equivalente a capacidade política de aprová-la.</w:t>
      </w:r>
    </w:p>
    <w:p>
      <w:r>
        <w:t>Meta verificável: Resultado associado a período, unidade, método e responsável por divulgar dados.</w:t>
      </w:r>
    </w:p>
    <w:sectPr w:rsidR="00FC693F" w:rsidRPr="0006063C" w:rsidSect="00034616">
      <w:headerReference w:type="default" r:id="rId9"/>
      <w:footerReference w:type="default" r:id="rId10"/>
      <w:pgSz w:w="12240" w:h="15840"/>
      <w:pgMar w:top="1304" w:right="1276" w:bottom="1134" w:left="1417" w:header="482" w:footer="48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8636D"/>
        <w:sz w:val="16"/>
      </w:rPr>
      <w:t xml:space="preserve">Eleições Presidenciais das IAs • Brasil 2026   |   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1D8C84"/>
        <w:sz w:val="16"/>
      </w:rPr>
      <w:t>PHT  •  CANDIDATURA FICTÍCIA  |  VOLUME 06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color w:val="183145"/>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b/>
      <w:bCs/>
      <w:color w:val="1D8C84"/>
      <w:sz w:val="28"/>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ptos Display" w:hAnsi="Aptos Display"/>
      <w:b/>
      <w:bCs/>
      <w:color w:val="1D8C84"/>
      <w:sz w:val="23"/>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Aptos Display" w:hAnsi="Aptos Display"/>
      <w:b/>
      <w:bCs/>
      <w:color w:val="1D8C84"/>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b/>
      <w:color w:val="183145"/>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