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rPr>
          <w:b/>
          <w:bCs/>
          <w:color w:val="5C6672"/>
          <w:spacing w:val="60"/>
          <w:sz w:val="20"/>
          <w:szCs w:val="20"/>
        </w:rPr>
        <w:t xml:space="preserve">SERGESTIONA 2.0</w:t>
      </w:r>
    </w:p>
    <w:p>
      <w:pPr>
        <w:pStyle w:val="Title"/>
      </w:pPr>
      <w:r>
        <w:t xml:space="preserve">Manual de Administración</w:t>
      </w:r>
    </w:p>
    <w:p>
      <w:pPr>
        <w:spacing w:after="400"/>
      </w:pPr>
      <w:r>
        <w:rPr>
          <w:color w:val="5C6672"/>
          <w:sz w:val="26"/>
          <w:szCs w:val="26"/>
        </w:rPr>
        <w:t xml:space="preserve">Coordinación y administración</w:t>
      </w:r>
    </w:p>
    <w:p>
      <w:pPr>
        <w:pBdr>
          <w:top w:val="single" w:color="194276" w:sz="12" w:space="12"/>
        </w:pBdr>
        <w:spacing w:after="200" w:before="200"/>
      </w:pPr>
    </w:p>
    <w:p>
      <w:r>
        <w:rPr>
          <w:b/>
          <w:bCs/>
          <w:sz w:val="22"/>
          <w:szCs w:val="22"/>
        </w:rPr>
        <w:t xml:space="preserve">Escuela de Educación Virtual y Contenido Digital</w:t>
      </w:r>
    </w:p>
    <w:p>
      <w:r>
        <w:rPr>
          <w:color w:val="5C6672"/>
          <w:sz w:val="22"/>
          <w:szCs w:val="22"/>
        </w:rPr>
        <w:t xml:space="preserve">Universidad Sergio Arboleda</w:t>
      </w:r>
    </w:p>
    <w:p>
      <w:pPr>
        <w:spacing w:before="160"/>
      </w:pPr>
      <w:r>
        <w:rPr>
          <w:color w:val="194276"/>
          <w:sz w:val="20"/>
          <w:szCs w:val="20"/>
        </w:rPr>
        <w:t xml:space="preserve">http://virtualidad.usergioarboleda.edu.co/sergestiona</w:t>
      </w:r>
    </w:p>
    <w:p>
      <w:r>
        <w:br w:type="page"/>
      </w:r>
    </w:p>
    <w:p>
      <w:pPr>
        <w:pStyle w:val="Heading1"/>
      </w:pPr>
      <w:r>
        <w:t xml:space="preserve">Para quién es este manual</w:t>
      </w:r>
    </w:p>
    <w:p>
      <w:r>
        <w:t xml:space="preserve">Para los perfiles de Coordinador y Administrador. Además de todo lo del Manual de Producción, cubre la planeación, el seguimiento y la configuración de la plataforma.</w:t>
      </w:r>
    </w:p>
    <w:p>
      <w:pPr>
        <w:pStyle w:val="Heading1"/>
      </w:pPr>
      <w:r>
        <w:t xml:space="preserve">Acceso a la plataforma</w:t>
      </w:r>
    </w:p>
    <w:p>
      <w:r>
        <w:t xml:space="preserve">Sergestiona se abre desde el navegador en http://virtualidad.usergioarboleda.edu.co/sergestiona</w:t>
      </w:r>
    </w:p>
    <w:p>
      <w:pPr>
        <w:pBdr>
          <w:left w:val="single" w:color="194276" w:sz="18" w:space="8"/>
        </w:pBdr>
        <w:shd w:fill="EEF3FA" w:val="clear"/>
        <w:spacing w:after="160" w:before="120"/>
      </w:pPr>
      <w:r>
        <w:rPr>
          <w:color w:val="2C3E56"/>
          <w:sz w:val="20"/>
          <w:szCs w:val="20"/>
        </w:rPr>
        <w:t xml:space="preserve">Durante esta fase el acceso está restringido a la red física del campus por cable de red. No se puede ingresar por Wi-Fi ni desde fuera de la universidad.</w:t>
      </w:r>
    </w:p>
    <w:p>
      <w:pPr>
        <w:pStyle w:val="Heading2"/>
      </w:pPr>
      <w:r>
        <w:t xml:space="preserve">Primer ingreso</w:t>
      </w:r>
    </w:p>
    <w:p>
      <w:pPr>
        <w:pStyle w:val="ListParagraph"/>
        <w:numPr>
          <w:ilvl w:val="0"/>
          <w:numId w:val="2"/>
        </w:numPr>
      </w:pPr>
      <w:r>
        <w:t xml:space="preserve">Ingresa con tu correo institucional y la contraseña que recibiste.</w:t>
      </w:r>
    </w:p>
    <w:p>
      <w:pPr>
        <w:pStyle w:val="ListParagraph"/>
        <w:numPr>
          <w:ilvl w:val="0"/>
          <w:numId w:val="2"/>
        </w:numPr>
      </w:pPr>
      <w:r>
        <w:t xml:space="preserve">Abre tu nombre (arriba a la derecha) y entra a Mi Perfil.</w:t>
      </w:r>
    </w:p>
    <w:p>
      <w:pPr>
        <w:pStyle w:val="ListParagraph"/>
        <w:numPr>
          <w:ilvl w:val="0"/>
          <w:numId w:val="2"/>
        </w:numPr>
      </w:pPr>
      <w:r>
        <w:t xml:space="preserve">Cambia la contraseña por una propia.</w:t>
      </w:r>
    </w:p>
    <w:p>
      <w:r>
        <w:t xml:space="preserve">Si olvidas la contraseña, usa "¿Olvidaste tu contraseña?" en la pantalla de ingreso, o pídele a un administrador que te genere un enlace de restablecimiento.</w:t>
      </w:r>
    </w:p>
    <w:p>
      <w:pPr>
        <w:pStyle w:val="Heading1"/>
      </w:pPr>
      <w:r>
        <w:t xml:space="preserve">Dashboard Ejecutivo</w:t>
      </w:r>
    </w:p>
    <w:p>
      <w:r>
        <w:t xml:space="preserve">Es el centro de mando. Tiene cinco pestañas y una barra de filtros por Escuela/Proyecto, responsable, rol, tipo de requerimiento, año y 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94276" w:val="clear"/>
            <w:tcMar>
              <w:top w:type="dxa" w:w="80"/>
              <w:left w:type="dxa" w:w="120"/>
              <w:bottom w:type="dxa" w:w="80"/>
              <w:right w:type="dxa" w:w="120"/>
            </w:tcMar>
          </w:tcPr>
          <w:p>
            <w:r>
              <w:rPr>
                <w:b/>
                <w:bCs/>
                <w:color w:val="FFFFFF"/>
                <w:sz w:val="19"/>
                <w:szCs w:val="19"/>
              </w:rPr>
              <w:t xml:space="preserve">Pestaña</w:t>
            </w:r>
          </w:p>
        </w:tc>
        <w:tc>
          <w:tcPr>
            <w:tcW w:type="dxa" w:w="4680"/>
            <w:shd w:fill="194276" w:val="clear"/>
            <w:tcMar>
              <w:top w:type="dxa" w:w="80"/>
              <w:left w:type="dxa" w:w="120"/>
              <w:bottom w:type="dxa" w:w="80"/>
              <w:right w:type="dxa" w:w="120"/>
            </w:tcMar>
          </w:tcPr>
          <w:p>
            <w:r>
              <w:rPr>
                <w:b/>
                <w:bCs/>
                <w:color w:val="FFFFFF"/>
                <w:sz w:val="19"/>
                <w:szCs w:val="19"/>
              </w:rPr>
              <w:t xml:space="preserve">Qué muestra</w:t>
            </w:r>
          </w:p>
        </w:tc>
      </w:tr>
      <w:tr>
        <w:tc>
          <w:tcPr>
            <w:tcW w:type="dxa" w:w="4680"/>
            <w:shd w:fill="FFFFFF" w:val="clear"/>
            <w:tcMar>
              <w:top w:type="dxa" w:w="70"/>
              <w:left w:type="dxa" w:w="120"/>
              <w:bottom w:type="dxa" w:w="70"/>
              <w:right w:type="dxa" w:w="120"/>
            </w:tcMar>
          </w:tcPr>
          <w:p>
            <w:r>
              <w:rPr>
                <w:sz w:val="19"/>
                <w:szCs w:val="19"/>
              </w:rPr>
              <w:t xml:space="preserve">Resumen</w:t>
            </w:r>
          </w:p>
        </w:tc>
        <w:tc>
          <w:tcPr>
            <w:tcW w:type="dxa" w:w="4680"/>
            <w:shd w:fill="FFFFFF" w:val="clear"/>
            <w:tcMar>
              <w:top w:type="dxa" w:w="70"/>
              <w:left w:type="dxa" w:w="120"/>
              <w:bottom w:type="dxa" w:w="70"/>
              <w:right w:type="dxa" w:w="120"/>
            </w:tcMar>
          </w:tcPr>
          <w:p>
            <w:r>
              <w:rPr>
                <w:sz w:val="19"/>
                <w:szCs w:val="19"/>
              </w:rPr>
              <w:t xml:space="preserve">Indicadores globales: proyectos, entregables, vencidas, por vencer, con observaciones.</w:t>
            </w:r>
          </w:p>
        </w:tc>
      </w:tr>
      <w:tr>
        <w:tc>
          <w:tcPr>
            <w:tcW w:type="dxa" w:w="4680"/>
            <w:shd w:fill="F5F7FA" w:val="clear"/>
            <w:tcMar>
              <w:top w:type="dxa" w:w="70"/>
              <w:left w:type="dxa" w:w="120"/>
              <w:bottom w:type="dxa" w:w="70"/>
              <w:right w:type="dxa" w:w="120"/>
            </w:tcMar>
          </w:tcPr>
          <w:p>
            <w:r>
              <w:rPr>
                <w:sz w:val="19"/>
                <w:szCs w:val="19"/>
              </w:rPr>
              <w:t xml:space="preserve">Seguimiento</w:t>
            </w:r>
          </w:p>
        </w:tc>
        <w:tc>
          <w:tcPr>
            <w:tcW w:type="dxa" w:w="4680"/>
            <w:shd w:fill="F5F7FA" w:val="clear"/>
            <w:tcMar>
              <w:top w:type="dxa" w:w="70"/>
              <w:left w:type="dxa" w:w="120"/>
              <w:bottom w:type="dxa" w:w="70"/>
              <w:right w:type="dxa" w:w="120"/>
            </w:tcMar>
          </w:tcPr>
          <w:p>
            <w:r>
              <w:rPr>
                <w:sz w:val="19"/>
                <w:szCs w:val="19"/>
              </w:rPr>
              <w:t xml:space="preserve">Diagrama de Gantt jerárquico: Programa → Asignatura → Entregable → Actividad.</w:t>
            </w:r>
          </w:p>
        </w:tc>
      </w:tr>
      <w:tr>
        <w:tc>
          <w:tcPr>
            <w:tcW w:type="dxa" w:w="4680"/>
            <w:shd w:fill="FFFFFF" w:val="clear"/>
            <w:tcMar>
              <w:top w:type="dxa" w:w="70"/>
              <w:left w:type="dxa" w:w="120"/>
              <w:bottom w:type="dxa" w:w="70"/>
              <w:right w:type="dxa" w:w="120"/>
            </w:tcMar>
          </w:tcPr>
          <w:p>
            <w:r>
              <w:rPr>
                <w:sz w:val="19"/>
                <w:szCs w:val="19"/>
              </w:rPr>
              <w:t xml:space="preserve">Capacidad</w:t>
            </w:r>
          </w:p>
        </w:tc>
        <w:tc>
          <w:tcPr>
            <w:tcW w:type="dxa" w:w="4680"/>
            <w:shd w:fill="FFFFFF" w:val="clear"/>
            <w:tcMar>
              <w:top w:type="dxa" w:w="70"/>
              <w:left w:type="dxa" w:w="120"/>
              <w:bottom w:type="dxa" w:w="70"/>
              <w:right w:type="dxa" w:w="120"/>
            </w:tcMar>
          </w:tcPr>
          <w:p>
            <w:r>
              <w:rPr>
                <w:sz w:val="19"/>
                <w:szCs w:val="19"/>
              </w:rPr>
              <w:t xml:space="preserve">Ocupación del equipo y detección de sobrecarga.</w:t>
            </w:r>
          </w:p>
        </w:tc>
      </w:tr>
      <w:tr>
        <w:tc>
          <w:tcPr>
            <w:tcW w:type="dxa" w:w="4680"/>
            <w:shd w:fill="F5F7FA" w:val="clear"/>
            <w:tcMar>
              <w:top w:type="dxa" w:w="70"/>
              <w:left w:type="dxa" w:w="120"/>
              <w:bottom w:type="dxa" w:w="70"/>
              <w:right w:type="dxa" w:w="120"/>
            </w:tcMar>
          </w:tcPr>
          <w:p>
            <w:r>
              <w:rPr>
                <w:sz w:val="19"/>
                <w:szCs w:val="19"/>
              </w:rPr>
              <w:t xml:space="preserve">Producción</w:t>
            </w:r>
          </w:p>
        </w:tc>
        <w:tc>
          <w:tcPr>
            <w:tcW w:type="dxa" w:w="4680"/>
            <w:shd w:fill="F5F7FA" w:val="clear"/>
            <w:tcMar>
              <w:top w:type="dxa" w:w="70"/>
              <w:left w:type="dxa" w:w="120"/>
              <w:bottom w:type="dxa" w:w="70"/>
              <w:right w:type="dxa" w:w="120"/>
            </w:tcMar>
          </w:tcPr>
          <w:p>
            <w:r>
              <w:rPr>
                <w:sz w:val="19"/>
                <w:szCs w:val="19"/>
              </w:rPr>
              <w:t xml:space="preserve">Recursos producidos, por tipo, rol, responsable y proyecto.</w:t>
            </w:r>
          </w:p>
        </w:tc>
      </w:tr>
      <w:tr>
        <w:tc>
          <w:tcPr>
            <w:tcW w:type="dxa" w:w="4680"/>
            <w:shd w:fill="FFFFFF" w:val="clear"/>
            <w:tcMar>
              <w:top w:type="dxa" w:w="70"/>
              <w:left w:type="dxa" w:w="120"/>
              <w:bottom w:type="dxa" w:w="70"/>
              <w:right w:type="dxa" w:w="120"/>
            </w:tcMar>
          </w:tcPr>
          <w:p>
            <w:r>
              <w:rPr>
                <w:sz w:val="19"/>
                <w:szCs w:val="19"/>
              </w:rPr>
              <w:t xml:space="preserve">Reportes</w:t>
            </w:r>
          </w:p>
        </w:tc>
        <w:tc>
          <w:tcPr>
            <w:tcW w:type="dxa" w:w="4680"/>
            <w:shd w:fill="FFFFFF" w:val="clear"/>
            <w:tcMar>
              <w:top w:type="dxa" w:w="70"/>
              <w:left w:type="dxa" w:w="120"/>
              <w:bottom w:type="dxa" w:w="70"/>
              <w:right w:type="dxa" w:w="120"/>
            </w:tcMar>
          </w:tcPr>
          <w:p>
            <w:r>
              <w:rPr>
                <w:sz w:val="19"/>
                <w:szCs w:val="19"/>
              </w:rPr>
              <w:t xml:space="preserve">Rankings de programas y asignaturas por avance, y exportaciones.</w:t>
            </w:r>
          </w:p>
        </w:tc>
      </w:tr>
    </w:tbl>
    <w:p>
      <w:pPr>
        <w:pBdr>
          <w:left w:val="single" w:color="194276" w:sz="18" w:space="8"/>
        </w:pBdr>
        <w:shd w:fill="EEF3FA" w:val="clear"/>
        <w:spacing w:after="160" w:before="120"/>
      </w:pPr>
      <w:r>
        <w:rPr>
          <w:color w:val="2C3E56"/>
          <w:sz w:val="20"/>
          <w:szCs w:val="20"/>
        </w:rPr>
        <w:t xml:space="preserve">Los filtros aplican al Gantt de Seguimiento y a la pestaña de Producción. Los indicadores del Resumen son globales y no se filtran.</w:t>
      </w:r>
    </w:p>
    <w:p>
      <w:pPr>
        <w:pStyle w:val="Heading1"/>
      </w:pPr>
      <w:r>
        <w:t xml:space="preserve">Qué mide cada indicador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94276" w:val="clear"/>
            <w:tcMar>
              <w:top w:type="dxa" w:w="80"/>
              <w:left w:type="dxa" w:w="120"/>
              <w:bottom w:type="dxa" w:w="80"/>
              <w:right w:type="dxa" w:w="120"/>
            </w:tcMar>
          </w:tcPr>
          <w:p>
            <w:r>
              <w:rPr>
                <w:b/>
                <w:bCs/>
                <w:color w:val="FFFFFF"/>
                <w:sz w:val="19"/>
                <w:szCs w:val="19"/>
              </w:rPr>
              <w:t xml:space="preserve">Indicador</w:t>
            </w:r>
          </w:p>
        </w:tc>
        <w:tc>
          <w:tcPr>
            <w:tcW w:type="dxa" w:w="4680"/>
            <w:shd w:fill="194276" w:val="clear"/>
            <w:tcMar>
              <w:top w:type="dxa" w:w="80"/>
              <w:left w:type="dxa" w:w="120"/>
              <w:bottom w:type="dxa" w:w="80"/>
              <w:right w:type="dxa" w:w="120"/>
            </w:tcMar>
          </w:tcPr>
          <w:p>
            <w:r>
              <w:rPr>
                <w:b/>
                <w:bCs/>
                <w:color w:val="FFFFFF"/>
                <w:sz w:val="19"/>
                <w:szCs w:val="19"/>
              </w:rPr>
              <w:t xml:space="preserve">Cómo se calcula</w:t>
            </w:r>
          </w:p>
        </w:tc>
      </w:tr>
      <w:tr>
        <w:tc>
          <w:tcPr>
            <w:tcW w:type="dxa" w:w="4680"/>
            <w:shd w:fill="FFFFFF" w:val="clear"/>
            <w:tcMar>
              <w:top w:type="dxa" w:w="70"/>
              <w:left w:type="dxa" w:w="120"/>
              <w:bottom w:type="dxa" w:w="70"/>
              <w:right w:type="dxa" w:w="120"/>
            </w:tcMar>
          </w:tcPr>
          <w:p>
            <w:r>
              <w:rPr>
                <w:sz w:val="19"/>
                <w:szCs w:val="19"/>
              </w:rPr>
              <w:t xml:space="preserve">% de cumplimiento</w:t>
            </w:r>
          </w:p>
        </w:tc>
        <w:tc>
          <w:tcPr>
            <w:tcW w:type="dxa" w:w="4680"/>
            <w:shd w:fill="FFFFFF" w:val="clear"/>
            <w:tcMar>
              <w:top w:type="dxa" w:w="70"/>
              <w:left w:type="dxa" w:w="120"/>
              <w:bottom w:type="dxa" w:w="70"/>
              <w:right w:type="dxa" w:w="120"/>
            </w:tcMar>
          </w:tcPr>
          <w:p>
            <w:r>
              <w:rPr>
                <w:sz w:val="19"/>
                <w:szCs w:val="19"/>
              </w:rPr>
              <w:t xml:space="preserve">Actividades completadas (entregadas o aprobadas) sobre el total, excluyendo las No Aplica.</w:t>
            </w:r>
          </w:p>
        </w:tc>
      </w:tr>
      <w:tr>
        <w:tc>
          <w:tcPr>
            <w:tcW w:type="dxa" w:w="4680"/>
            <w:shd w:fill="F5F7FA" w:val="clear"/>
            <w:tcMar>
              <w:top w:type="dxa" w:w="70"/>
              <w:left w:type="dxa" w:w="120"/>
              <w:bottom w:type="dxa" w:w="70"/>
              <w:right w:type="dxa" w:w="120"/>
            </w:tcMar>
          </w:tcPr>
          <w:p>
            <w:r>
              <w:rPr>
                <w:sz w:val="19"/>
                <w:szCs w:val="19"/>
              </w:rPr>
              <w:t xml:space="preserve">% de avance de entregables</w:t>
            </w:r>
          </w:p>
        </w:tc>
        <w:tc>
          <w:tcPr>
            <w:tcW w:type="dxa" w:w="4680"/>
            <w:shd w:fill="F5F7FA" w:val="clear"/>
            <w:tcMar>
              <w:top w:type="dxa" w:w="70"/>
              <w:left w:type="dxa" w:w="120"/>
              <w:bottom w:type="dxa" w:w="70"/>
              <w:right w:type="dxa" w:w="120"/>
            </w:tcMar>
          </w:tcPr>
          <w:p>
            <w:r>
              <w:rPr>
                <w:sz w:val="19"/>
                <w:szCs w:val="19"/>
              </w:rPr>
              <w:t xml:space="preserve">Entregables terminados sobre el total. Mide otra cosa: no confundir con cumplimiento.</w:t>
            </w:r>
          </w:p>
        </w:tc>
      </w:tr>
      <w:tr>
        <w:tc>
          <w:tcPr>
            <w:tcW w:type="dxa" w:w="4680"/>
            <w:shd w:fill="FFFFFF" w:val="clear"/>
            <w:tcMar>
              <w:top w:type="dxa" w:w="70"/>
              <w:left w:type="dxa" w:w="120"/>
              <w:bottom w:type="dxa" w:w="70"/>
              <w:right w:type="dxa" w:w="120"/>
            </w:tcMar>
          </w:tcPr>
          <w:p>
            <w:r>
              <w:rPr>
                <w:sz w:val="19"/>
                <w:szCs w:val="19"/>
              </w:rPr>
              <w:t xml:space="preserve">Vencidas</w:t>
            </w:r>
          </w:p>
        </w:tc>
        <w:tc>
          <w:tcPr>
            <w:tcW w:type="dxa" w:w="4680"/>
            <w:shd w:fill="FFFFFF" w:val="clear"/>
            <w:tcMar>
              <w:top w:type="dxa" w:w="70"/>
              <w:left w:type="dxa" w:w="120"/>
              <w:bottom w:type="dxa" w:w="70"/>
              <w:right w:type="dxa" w:w="120"/>
            </w:tcMar>
          </w:tcPr>
          <w:p>
            <w:r>
              <w:rPr>
                <w:sz w:val="19"/>
                <w:szCs w:val="19"/>
              </w:rPr>
              <w:t xml:space="preserve">Con fecha límite pasada, sin entrega real y que no estén entregadas, aprobadas ni en No Aplica.</w:t>
            </w:r>
          </w:p>
        </w:tc>
      </w:tr>
      <w:tr>
        <w:tc>
          <w:tcPr>
            <w:tcW w:type="dxa" w:w="4680"/>
            <w:shd w:fill="F5F7FA" w:val="clear"/>
            <w:tcMar>
              <w:top w:type="dxa" w:w="70"/>
              <w:left w:type="dxa" w:w="120"/>
              <w:bottom w:type="dxa" w:w="70"/>
              <w:right w:type="dxa" w:w="120"/>
            </w:tcMar>
          </w:tcPr>
          <w:p>
            <w:r>
              <w:rPr>
                <w:sz w:val="19"/>
                <w:szCs w:val="19"/>
              </w:rPr>
              <w:t xml:space="preserve">Urgente</w:t>
            </w:r>
          </w:p>
        </w:tc>
        <w:tc>
          <w:tcPr>
            <w:tcW w:type="dxa" w:w="4680"/>
            <w:shd w:fill="F5F7FA" w:val="clear"/>
            <w:tcMar>
              <w:top w:type="dxa" w:w="70"/>
              <w:left w:type="dxa" w:w="120"/>
              <w:bottom w:type="dxa" w:w="70"/>
              <w:right w:type="dxa" w:w="120"/>
            </w:tcMar>
          </w:tcPr>
          <w:p>
            <w:r>
              <w:rPr>
                <w:sz w:val="19"/>
                <w:szCs w:val="19"/>
              </w:rPr>
              <w:t xml:space="preserve">Automático: faltan 3 días o menos para la fecha límite.</w:t>
            </w:r>
          </w:p>
        </w:tc>
      </w:tr>
      <w:tr>
        <w:tc>
          <w:tcPr>
            <w:tcW w:type="dxa" w:w="4680"/>
            <w:shd w:fill="FFFFFF" w:val="clear"/>
            <w:tcMar>
              <w:top w:type="dxa" w:w="70"/>
              <w:left w:type="dxa" w:w="120"/>
              <w:bottom w:type="dxa" w:w="70"/>
              <w:right w:type="dxa" w:w="120"/>
            </w:tcMar>
          </w:tcPr>
          <w:p>
            <w:r>
              <w:rPr>
                <w:sz w:val="19"/>
                <w:szCs w:val="19"/>
              </w:rPr>
              <w:t xml:space="preserve">Cumplimiento de esta semana</w:t>
            </w:r>
          </w:p>
        </w:tc>
        <w:tc>
          <w:tcPr>
            <w:tcW w:type="dxa" w:w="4680"/>
            <w:shd w:fill="FFFFFF" w:val="clear"/>
            <w:tcMar>
              <w:top w:type="dxa" w:w="70"/>
              <w:left w:type="dxa" w:w="120"/>
              <w:bottom w:type="dxa" w:w="70"/>
              <w:right w:type="dxa" w:w="120"/>
            </w:tcMar>
          </w:tcPr>
          <w:p>
            <w:r>
              <w:rPr>
                <w:sz w:val="19"/>
                <w:szCs w:val="19"/>
              </w:rPr>
              <w:t xml:space="preserve">Solo actividades con fecha límite entre lunes y domingo de la semana en curso.</w:t>
            </w:r>
          </w:p>
        </w:tc>
      </w:tr>
    </w:tbl>
    <w:p>
      <w:pPr>
        <w:pStyle w:val="Heading1"/>
      </w:pPr>
      <w:r>
        <w:t xml:space="preserve">Capacidad operativa</w:t>
      </w:r>
    </w:p>
    <w:p>
      <w:r>
        <w:t xml:space="preserve">La carga semanal de una persona es la suma de los puntos de complejidad de sus actividades exigibles esa semana. Se excluyen las aprobadas, entregadas y No Aplica; las vencidas siguen sumando hasta que se entregan.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94276" w:val="clear"/>
            <w:tcMar>
              <w:top w:type="dxa" w:w="80"/>
              <w:left w:type="dxa" w:w="120"/>
              <w:bottom w:type="dxa" w:w="80"/>
              <w:right w:type="dxa" w:w="120"/>
            </w:tcMar>
          </w:tcPr>
          <w:p>
            <w:r>
              <w:rPr>
                <w:b/>
                <w:bCs/>
                <w:color w:val="FFFFFF"/>
                <w:sz w:val="19"/>
                <w:szCs w:val="19"/>
              </w:rPr>
              <w:t xml:space="preserve">Elemento</w:t>
            </w:r>
          </w:p>
        </w:tc>
        <w:tc>
          <w:tcPr>
            <w:tcW w:type="dxa" w:w="3120"/>
            <w:shd w:fill="194276" w:val="clear"/>
            <w:tcMar>
              <w:top w:type="dxa" w:w="80"/>
              <w:left w:type="dxa" w:w="120"/>
              <w:bottom w:type="dxa" w:w="80"/>
              <w:right w:type="dxa" w:w="120"/>
            </w:tcMar>
          </w:tcPr>
          <w:p>
            <w:r>
              <w:rPr>
                <w:b/>
                <w:bCs/>
                <w:color w:val="FFFFFF"/>
                <w:sz w:val="19"/>
                <w:szCs w:val="19"/>
              </w:rPr>
              <w:t xml:space="preserve">De dónde sale</w:t>
            </w:r>
          </w:p>
        </w:tc>
        <w:tc>
          <w:tcPr>
            <w:tcW w:type="dxa" w:w="3120"/>
            <w:shd w:fill="194276" w:val="clear"/>
            <w:tcMar>
              <w:top w:type="dxa" w:w="80"/>
              <w:left w:type="dxa" w:w="120"/>
              <w:bottom w:type="dxa" w:w="80"/>
              <w:right w:type="dxa" w:w="120"/>
            </w:tcMar>
          </w:tcPr>
          <w:p>
            <w:r>
              <w:rPr>
                <w:b/>
                <w:bCs/>
                <w:color w:val="FFFFFF"/>
                <w:sz w:val="19"/>
                <w:szCs w:val="19"/>
              </w:rPr>
              <w:t xml:space="preserve">Dónde se ajusta</w:t>
            </w:r>
          </w:p>
        </w:tc>
      </w:tr>
      <w:tr>
        <w:tc>
          <w:tcPr>
            <w:tcW w:type="dxa" w:w="3120"/>
            <w:shd w:fill="FFFFFF" w:val="clear"/>
            <w:tcMar>
              <w:top w:type="dxa" w:w="70"/>
              <w:left w:type="dxa" w:w="120"/>
              <w:bottom w:type="dxa" w:w="70"/>
              <w:right w:type="dxa" w:w="120"/>
            </w:tcMar>
          </w:tcPr>
          <w:p>
            <w:r>
              <w:rPr>
                <w:sz w:val="19"/>
                <w:szCs w:val="19"/>
              </w:rPr>
              <w:t xml:space="preserve">Puntos de una actividad</w:t>
            </w:r>
          </w:p>
        </w:tc>
        <w:tc>
          <w:tcPr>
            <w:tcW w:type="dxa" w:w="3120"/>
            <w:shd w:fill="FFFFFF" w:val="clear"/>
            <w:tcMar>
              <w:top w:type="dxa" w:w="70"/>
              <w:left w:type="dxa" w:w="120"/>
              <w:bottom w:type="dxa" w:w="70"/>
              <w:right w:type="dxa" w:w="120"/>
            </w:tcMar>
          </w:tcPr>
          <w:p>
            <w:r>
              <w:rPr>
                <w:sz w:val="19"/>
                <w:szCs w:val="19"/>
              </w:rPr>
              <w:t xml:space="preserve">Del nivel de complejidad de su entregable</w:t>
            </w:r>
          </w:p>
        </w:tc>
        <w:tc>
          <w:tcPr>
            <w:tcW w:type="dxa" w:w="3120"/>
            <w:shd w:fill="FFFFFF" w:val="clear"/>
            <w:tcMar>
              <w:top w:type="dxa" w:w="70"/>
              <w:left w:type="dxa" w:w="120"/>
              <w:bottom w:type="dxa" w:w="70"/>
              <w:right w:type="dxa" w:w="120"/>
            </w:tcMar>
          </w:tcPr>
          <w:p>
            <w:r>
              <w:rPr>
                <w:sz w:val="19"/>
                <w:szCs w:val="19"/>
              </w:rPr>
              <w:t xml:space="preserve">Configuración → Complejidad</w:t>
            </w:r>
          </w:p>
        </w:tc>
      </w:tr>
      <w:tr>
        <w:tc>
          <w:tcPr>
            <w:tcW w:type="dxa" w:w="3120"/>
            <w:shd w:fill="F5F7FA" w:val="clear"/>
            <w:tcMar>
              <w:top w:type="dxa" w:w="70"/>
              <w:left w:type="dxa" w:w="120"/>
              <w:bottom w:type="dxa" w:w="70"/>
              <w:right w:type="dxa" w:w="120"/>
            </w:tcMar>
          </w:tcPr>
          <w:p>
            <w:r>
              <w:rPr>
                <w:sz w:val="19"/>
                <w:szCs w:val="19"/>
              </w:rPr>
              <w:t xml:space="preserve">Puntos por defecto</w:t>
            </w:r>
          </w:p>
        </w:tc>
        <w:tc>
          <w:tcPr>
            <w:tcW w:type="dxa" w:w="3120"/>
            <w:shd w:fill="F5F7FA" w:val="clear"/>
            <w:tcMar>
              <w:top w:type="dxa" w:w="70"/>
              <w:left w:type="dxa" w:w="120"/>
              <w:bottom w:type="dxa" w:w="70"/>
              <w:right w:type="dxa" w:w="120"/>
            </w:tcMar>
          </w:tcPr>
          <w:p>
            <w:r>
              <w:rPr>
                <w:sz w:val="19"/>
                <w:szCs w:val="19"/>
              </w:rPr>
              <w:t xml:space="preserve">Si el entregable no tiene nivel asignado</w:t>
            </w:r>
          </w:p>
        </w:tc>
        <w:tc>
          <w:tcPr>
            <w:tcW w:type="dxa" w:w="3120"/>
            <w:shd w:fill="F5F7FA" w:val="clear"/>
            <w:tcMar>
              <w:top w:type="dxa" w:w="70"/>
              <w:left w:type="dxa" w:w="120"/>
              <w:bottom w:type="dxa" w:w="70"/>
              <w:right w:type="dxa" w:w="120"/>
            </w:tcMar>
          </w:tcPr>
          <w:p>
            <w:r>
              <w:rPr>
                <w:sz w:val="19"/>
                <w:szCs w:val="19"/>
              </w:rPr>
              <w:t xml:space="preserve">Configuración → Parámetros</w:t>
            </w:r>
          </w:p>
        </w:tc>
      </w:tr>
      <w:tr>
        <w:tc>
          <w:tcPr>
            <w:tcW w:type="dxa" w:w="3120"/>
            <w:shd w:fill="FFFFFF" w:val="clear"/>
            <w:tcMar>
              <w:top w:type="dxa" w:w="70"/>
              <w:left w:type="dxa" w:w="120"/>
              <w:bottom w:type="dxa" w:w="70"/>
              <w:right w:type="dxa" w:w="120"/>
            </w:tcMar>
          </w:tcPr>
          <w:p>
            <w:r>
              <w:rPr>
                <w:sz w:val="19"/>
                <w:szCs w:val="19"/>
              </w:rPr>
              <w:t xml:space="preserve">Capacidad de la persona</w:t>
            </w:r>
          </w:p>
        </w:tc>
        <w:tc>
          <w:tcPr>
            <w:tcW w:type="dxa" w:w="3120"/>
            <w:shd w:fill="FFFFFF" w:val="clear"/>
            <w:tcMar>
              <w:top w:type="dxa" w:w="70"/>
              <w:left w:type="dxa" w:w="120"/>
              <w:bottom w:type="dxa" w:w="70"/>
              <w:right w:type="dxa" w:w="120"/>
            </w:tcMar>
          </w:tcPr>
          <w:p>
            <w:r>
              <w:rPr>
                <w:sz w:val="19"/>
                <w:szCs w:val="19"/>
              </w:rPr>
              <w:t xml:space="preserve">Su capacidad semanal individual</w:t>
            </w:r>
          </w:p>
        </w:tc>
        <w:tc>
          <w:tcPr>
            <w:tcW w:type="dxa" w:w="3120"/>
            <w:shd w:fill="FFFFFF" w:val="clear"/>
            <w:tcMar>
              <w:top w:type="dxa" w:w="70"/>
              <w:left w:type="dxa" w:w="120"/>
              <w:bottom w:type="dxa" w:w="70"/>
              <w:right w:type="dxa" w:w="120"/>
            </w:tcMar>
          </w:tcPr>
          <w:p>
            <w:r>
              <w:rPr>
                <w:sz w:val="19"/>
                <w:szCs w:val="19"/>
              </w:rPr>
              <w:t xml:space="preserve">Usuarios</w:t>
            </w:r>
          </w:p>
        </w:tc>
      </w:tr>
      <w:tr>
        <w:tc>
          <w:tcPr>
            <w:tcW w:type="dxa" w:w="3120"/>
            <w:shd w:fill="F5F7FA" w:val="clear"/>
            <w:tcMar>
              <w:top w:type="dxa" w:w="70"/>
              <w:left w:type="dxa" w:w="120"/>
              <w:bottom w:type="dxa" w:w="70"/>
              <w:right w:type="dxa" w:w="120"/>
            </w:tcMar>
          </w:tcPr>
          <w:p>
            <w:r>
              <w:rPr>
                <w:sz w:val="19"/>
                <w:szCs w:val="19"/>
              </w:rPr>
              <w:t xml:space="preserve">Umbral de carga alta</w:t>
            </w:r>
          </w:p>
        </w:tc>
        <w:tc>
          <w:tcPr>
            <w:tcW w:type="dxa" w:w="3120"/>
            <w:shd w:fill="F5F7FA" w:val="clear"/>
            <w:tcMar>
              <w:top w:type="dxa" w:w="70"/>
              <w:left w:type="dxa" w:w="120"/>
              <w:bottom w:type="dxa" w:w="70"/>
              <w:right w:type="dxa" w:w="120"/>
            </w:tcMar>
          </w:tcPr>
          <w:p>
            <w:r>
              <w:rPr>
                <w:sz w:val="19"/>
                <w:szCs w:val="19"/>
              </w:rPr>
              <w:t xml:space="preserve">80% de ocupación</w:t>
            </w:r>
          </w:p>
        </w:tc>
        <w:tc>
          <w:tcPr>
            <w:tcW w:type="dxa" w:w="3120"/>
            <w:shd w:fill="F5F7FA" w:val="clear"/>
            <w:tcMar>
              <w:top w:type="dxa" w:w="70"/>
              <w:left w:type="dxa" w:w="120"/>
              <w:bottom w:type="dxa" w:w="70"/>
              <w:right w:type="dxa" w:w="120"/>
            </w:tcMar>
          </w:tcPr>
          <w:p>
            <w:r>
              <w:rPr>
                <w:sz w:val="19"/>
                <w:szCs w:val="19"/>
              </w:rPr>
              <w:t xml:space="preserve">Configuración → Parámetros</w:t>
            </w:r>
          </w:p>
        </w:tc>
      </w:tr>
      <w:tr>
        <w:tc>
          <w:tcPr>
            <w:tcW w:type="dxa" w:w="3120"/>
            <w:shd w:fill="FFFFFF" w:val="clear"/>
            <w:tcMar>
              <w:top w:type="dxa" w:w="70"/>
              <w:left w:type="dxa" w:w="120"/>
              <w:bottom w:type="dxa" w:w="70"/>
              <w:right w:type="dxa" w:w="120"/>
            </w:tcMar>
          </w:tcPr>
          <w:p>
            <w:r>
              <w:rPr>
                <w:sz w:val="19"/>
                <w:szCs w:val="19"/>
              </w:rPr>
              <w:t xml:space="preserve">Umbral de sobrecarga</w:t>
            </w:r>
          </w:p>
        </w:tc>
        <w:tc>
          <w:tcPr>
            <w:tcW w:type="dxa" w:w="3120"/>
            <w:shd w:fill="FFFFFF" w:val="clear"/>
            <w:tcMar>
              <w:top w:type="dxa" w:w="70"/>
              <w:left w:type="dxa" w:w="120"/>
              <w:bottom w:type="dxa" w:w="70"/>
              <w:right w:type="dxa" w:w="120"/>
            </w:tcMar>
          </w:tcPr>
          <w:p>
            <w:r>
              <w:rPr>
                <w:sz w:val="19"/>
                <w:szCs w:val="19"/>
              </w:rPr>
              <w:t xml:space="preserve">100% de ocupación</w:t>
            </w:r>
          </w:p>
        </w:tc>
        <w:tc>
          <w:tcPr>
            <w:tcW w:type="dxa" w:w="3120"/>
            <w:shd w:fill="FFFFFF" w:val="clear"/>
            <w:tcMar>
              <w:top w:type="dxa" w:w="70"/>
              <w:left w:type="dxa" w:w="120"/>
              <w:bottom w:type="dxa" w:w="70"/>
              <w:right w:type="dxa" w:w="120"/>
            </w:tcMar>
          </w:tcPr>
          <w:p>
            <w:r>
              <w:rPr>
                <w:sz w:val="19"/>
                <w:szCs w:val="19"/>
              </w:rPr>
              <w:t xml:space="preserve">Configuración → Parámetros</w:t>
            </w:r>
          </w:p>
        </w:tc>
      </w:tr>
    </w:tbl>
    <w:p>
      <w:pPr>
        <w:pBdr>
          <w:left w:val="single" w:color="194276" w:sz="18" w:space="8"/>
        </w:pBdr>
        <w:shd w:fill="EEF3FA" w:val="clear"/>
        <w:spacing w:after="160" w:before="120"/>
      </w:pPr>
      <w:r>
        <w:rPr>
          <w:color w:val="2C3E56"/>
          <w:sz w:val="20"/>
          <w:szCs w:val="20"/>
        </w:rPr>
        <w:t xml:space="preserve">Todo el cálculo es configurable: si los umbrales o los puntos no reflejan la realidad del equipo, se ajustan desde Configuración sin tocar código.</w:t>
      </w:r>
    </w:p>
    <w:p>
      <w:pPr>
        <w:pStyle w:val="Heading1"/>
      </w:pPr>
      <w:r>
        <w:t xml:space="preserve">Planear entregables</w:t>
      </w:r>
    </w:p>
    <w:p>
      <w:pPr>
        <w:pStyle w:val="ListParagraph"/>
        <w:numPr>
          <w:ilvl w:val="0"/>
          <w:numId w:val="2"/>
        </w:numPr>
      </w:pPr>
      <w:r>
        <w:t xml:space="preserve">Crea o elige la Escuela/Proyecto y su programa académico.</w:t>
      </w:r>
    </w:p>
    <w:p>
      <w:pPr>
        <w:pStyle w:val="ListParagraph"/>
        <w:numPr>
          <w:ilvl w:val="0"/>
          <w:numId w:val="2"/>
        </w:numPr>
      </w:pPr>
      <w:r>
        <w:t xml:space="preserve">Crea el entregable indicando tipo (Creación o Actualización), semestre y ciclo.</w:t>
      </w:r>
    </w:p>
    <w:p>
      <w:pPr>
        <w:pStyle w:val="ListParagraph"/>
        <w:numPr>
          <w:ilvl w:val="0"/>
          <w:numId w:val="2"/>
        </w:numPr>
      </w:pPr>
      <w:r>
        <w:t xml:space="preserve">Asigna responsable y fecha comprometida a cada rol.</w:t>
      </w:r>
    </w:p>
    <w:p>
      <w:pPr>
        <w:pStyle w:val="ListParagraph"/>
        <w:numPr>
          <w:ilvl w:val="0"/>
          <w:numId w:val="2"/>
        </w:numPr>
      </w:pPr>
      <w:r>
        <w:t xml:space="preserve">Asigna el nivel de complejidad: es lo que alimenta el cálculo de capacidad.</w:t>
      </w:r>
    </w:p>
    <w:p>
      <w:r>
        <w:t xml:space="preserve">Para cargas masivas usa la importación por Excel desde el módulo de Entregables. Los entregables importados quedan con su estado global calculado automáticamente.</w:t>
      </w:r>
    </w:p>
    <w:p>
      <w:pPr>
        <w:pStyle w:val="Heading1"/>
      </w:pPr>
      <w:r>
        <w:t xml:space="preserve">El flujo de producción</w:t>
      </w:r>
    </w:p>
    <w:p>
      <w:r>
        <w:t xml:space="preserve">La cadena es: Experto Temático → Pedagogía → Diseño → Audiovisual → Ingeniería → Calidad. Cuando un rol entrega o se le aprueba, el siguiente rol aplicable se activa solo y su responsable recibe notificación. Los roles marcados como No Aplica se saltan automáticamente.</w:t>
      </w:r>
    </w:p>
    <w:p>
      <w:pPr>
        <w:pStyle w:val="Heading2"/>
      </w:pPr>
      <w:r>
        <w:t xml:space="preserve">El papel de Calidad</w:t>
      </w:r>
    </w:p>
    <w:p>
      <w:pPr>
        <w:pStyle w:val="ListParagraph"/>
        <w:numPr>
          <w:ilvl w:val="0"/>
          <w:numId w:val="3"/>
        </w:numPr>
      </w:pPr>
      <w:r>
        <w:t xml:space="preserve">Al aprobar, el entregable completo se marca como terminado y los roles hermanos pasan a aprobados.</w:t>
      </w:r>
    </w:p>
    <w:p>
      <w:pPr>
        <w:pStyle w:val="ListParagraph"/>
        <w:numPr>
          <w:ilvl w:val="0"/>
          <w:numId w:val="3"/>
        </w:numPr>
      </w:pPr>
      <w:r>
        <w:t xml:space="preserve">Al solicitar ajustes, puede elegir a qué roles devolver: a cada uno le llega notificación y su actividad se reabre.</w:t>
      </w:r>
    </w:p>
    <w:p>
      <w:pPr>
        <w:pStyle w:val="Heading1"/>
      </w:pPr>
      <w:r>
        <w:t xml:space="preserve">Configuración</w:t>
      </w:r>
    </w:p>
    <w:p>
      <w:pPr>
        <w:pStyle w:val="Heading2"/>
      </w:pPr>
      <w:r>
        <w:t xml:space="preserve">Estados por Rol</w:t>
      </w:r>
    </w:p>
    <w:p>
      <w:r>
        <w:t xml:space="preserve">Es la fuente de verdad de lo que ve cada rol en su selector de estado. Lo que configures aquí es exactamente lo que verán los usuarios.</w:t>
      </w:r>
    </w:p>
    <w:p>
      <w:pPr>
        <w:pStyle w:val="ListParagraph"/>
        <w:numPr>
          <w:ilvl w:val="0"/>
          <w:numId w:val="3"/>
        </w:numPr>
      </w:pPr>
      <w:r>
        <w:t xml:space="preserve">Asocia a cada rol los estados que puede usar.</w:t>
      </w:r>
    </w:p>
    <w:p>
      <w:pPr>
        <w:pStyle w:val="ListParagraph"/>
        <w:numPr>
          <w:ilvl w:val="0"/>
          <w:numId w:val="3"/>
        </w:numPr>
      </w:pPr>
      <w:r>
        <w:t xml:space="preserve">Ordénalos con las flechas: ese es el orden en que los verá el usuario.</w:t>
      </w:r>
    </w:p>
    <w:p>
      <w:pPr>
        <w:pStyle w:val="ListParagraph"/>
        <w:numPr>
          <w:ilvl w:val="0"/>
          <w:numId w:val="3"/>
        </w:numPr>
      </w:pPr>
      <w:r>
        <w:t xml:space="preserve">Marca un estado como Automático para que el usuario asignado no pueda elegirlo (lo pone el sistema o Calidad). Los gestores sí lo siguen viendo, para poder corregir a mano.</w:t>
      </w:r>
    </w:p>
    <w:p>
      <w:pPr>
        <w:pBdr>
          <w:left w:val="single" w:color="194276" w:sz="18" w:space="8"/>
        </w:pBdr>
        <w:shd w:fill="EEF3FA" w:val="clear"/>
        <w:spacing w:after="160" w:before="120"/>
      </w:pPr>
      <w:r>
        <w:rPr>
          <w:color w:val="2C3E56"/>
          <w:sz w:val="20"/>
          <w:szCs w:val="20"/>
        </w:rPr>
        <w:t xml:space="preserve">Si un rol necesita un estado nuevo, hay que agregárselo aquí. Ya no existe un catálogo paralelo que lo deje colar.</w:t>
      </w:r>
    </w:p>
    <w:p>
      <w:pPr>
        <w:pStyle w:val="Heading2"/>
      </w:pPr>
      <w:r>
        <w:t xml:space="preserve">Otros catálogos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94276" w:val="clear"/>
            <w:tcMar>
              <w:top w:type="dxa" w:w="80"/>
              <w:left w:type="dxa" w:w="120"/>
              <w:bottom w:type="dxa" w:w="80"/>
              <w:right w:type="dxa" w:w="120"/>
            </w:tcMar>
          </w:tcPr>
          <w:p>
            <w:r>
              <w:rPr>
                <w:b/>
                <w:bCs/>
                <w:color w:val="FFFFFF"/>
                <w:sz w:val="19"/>
                <w:szCs w:val="19"/>
              </w:rPr>
              <w:t xml:space="preserve">Módulo</w:t>
            </w:r>
          </w:p>
        </w:tc>
        <w:tc>
          <w:tcPr>
            <w:tcW w:type="dxa" w:w="4680"/>
            <w:shd w:fill="194276" w:val="clear"/>
            <w:tcMar>
              <w:top w:type="dxa" w:w="80"/>
              <w:left w:type="dxa" w:w="120"/>
              <w:bottom w:type="dxa" w:w="80"/>
              <w:right w:type="dxa" w:w="120"/>
            </w:tcMar>
          </w:tcPr>
          <w:p>
            <w:r>
              <w:rPr>
                <w:b/>
                <w:bCs/>
                <w:color w:val="FFFFFF"/>
                <w:sz w:val="19"/>
                <w:szCs w:val="19"/>
              </w:rPr>
              <w:t xml:space="preserve">Para qué sirve</w:t>
            </w:r>
          </w:p>
        </w:tc>
      </w:tr>
      <w:tr>
        <w:tc>
          <w:tcPr>
            <w:tcW w:type="dxa" w:w="4680"/>
            <w:shd w:fill="FFFFFF" w:val="clear"/>
            <w:tcMar>
              <w:top w:type="dxa" w:w="70"/>
              <w:left w:type="dxa" w:w="120"/>
              <w:bottom w:type="dxa" w:w="70"/>
              <w:right w:type="dxa" w:w="120"/>
            </w:tcMar>
          </w:tcPr>
          <w:p>
            <w:r>
              <w:rPr>
                <w:sz w:val="19"/>
                <w:szCs w:val="19"/>
              </w:rPr>
              <w:t xml:space="preserve">Complejidad</w:t>
            </w:r>
          </w:p>
        </w:tc>
        <w:tc>
          <w:tcPr>
            <w:tcW w:type="dxa" w:w="4680"/>
            <w:shd w:fill="FFFFFF" w:val="clear"/>
            <w:tcMar>
              <w:top w:type="dxa" w:w="70"/>
              <w:left w:type="dxa" w:w="120"/>
              <w:bottom w:type="dxa" w:w="70"/>
              <w:right w:type="dxa" w:w="120"/>
            </w:tcMar>
          </w:tcPr>
          <w:p>
            <w:r>
              <w:rPr>
                <w:sz w:val="19"/>
                <w:szCs w:val="19"/>
              </w:rPr>
              <w:t xml:space="preserve">Los niveles y sus puntos. Alimenta el cálculo de capacidad.</w:t>
            </w:r>
          </w:p>
        </w:tc>
      </w:tr>
      <w:tr>
        <w:tc>
          <w:tcPr>
            <w:tcW w:type="dxa" w:w="4680"/>
            <w:shd w:fill="F5F7FA" w:val="clear"/>
            <w:tcMar>
              <w:top w:type="dxa" w:w="70"/>
              <w:left w:type="dxa" w:w="120"/>
              <w:bottom w:type="dxa" w:w="70"/>
              <w:right w:type="dxa" w:w="120"/>
            </w:tcMar>
          </w:tcPr>
          <w:p>
            <w:r>
              <w:rPr>
                <w:sz w:val="19"/>
                <w:szCs w:val="19"/>
              </w:rPr>
              <w:t xml:space="preserve">Tipos de Recurso</w:t>
            </w:r>
          </w:p>
        </w:tc>
        <w:tc>
          <w:tcPr>
            <w:tcW w:type="dxa" w:w="4680"/>
            <w:shd w:fill="F5F7FA" w:val="clear"/>
            <w:tcMar>
              <w:top w:type="dxa" w:w="70"/>
              <w:left w:type="dxa" w:w="120"/>
              <w:bottom w:type="dxa" w:w="70"/>
              <w:right w:type="dxa" w:w="120"/>
            </w:tcMar>
          </w:tcPr>
          <w:p>
            <w:r>
              <w:rPr>
                <w:sz w:val="19"/>
                <w:szCs w:val="19"/>
              </w:rPr>
              <w:t xml:space="preserve">Qué produce cada rol. Aquí agregas formatos nuevos sin tocar código.</w:t>
            </w:r>
          </w:p>
        </w:tc>
      </w:tr>
      <w:tr>
        <w:tc>
          <w:tcPr>
            <w:tcW w:type="dxa" w:w="4680"/>
            <w:shd w:fill="FFFFFF" w:val="clear"/>
            <w:tcMar>
              <w:top w:type="dxa" w:w="70"/>
              <w:left w:type="dxa" w:w="120"/>
              <w:bottom w:type="dxa" w:w="70"/>
              <w:right w:type="dxa" w:w="120"/>
            </w:tcMar>
          </w:tcPr>
          <w:p>
            <w:r>
              <w:rPr>
                <w:sz w:val="19"/>
                <w:szCs w:val="19"/>
              </w:rPr>
              <w:t xml:space="preserve">Roles y Permisos</w:t>
            </w:r>
          </w:p>
        </w:tc>
        <w:tc>
          <w:tcPr>
            <w:tcW w:type="dxa" w:w="4680"/>
            <w:shd w:fill="FFFFFF" w:val="clear"/>
            <w:tcMar>
              <w:top w:type="dxa" w:w="70"/>
              <w:left w:type="dxa" w:w="120"/>
              <w:bottom w:type="dxa" w:w="70"/>
              <w:right w:type="dxa" w:w="120"/>
            </w:tcMar>
          </w:tcPr>
          <w:p>
            <w:r>
              <w:rPr>
                <w:sz w:val="19"/>
                <w:szCs w:val="19"/>
              </w:rPr>
              <w:t xml:space="preserve">Qué módulos ve cada rol y si ve todo o solo lo asignado.</w:t>
            </w:r>
          </w:p>
        </w:tc>
      </w:tr>
      <w:tr>
        <w:tc>
          <w:tcPr>
            <w:tcW w:type="dxa" w:w="4680"/>
            <w:shd w:fill="F5F7FA" w:val="clear"/>
            <w:tcMar>
              <w:top w:type="dxa" w:w="70"/>
              <w:left w:type="dxa" w:w="120"/>
              <w:bottom w:type="dxa" w:w="70"/>
              <w:right w:type="dxa" w:w="120"/>
            </w:tcMar>
          </w:tcPr>
          <w:p>
            <w:r>
              <w:rPr>
                <w:sz w:val="19"/>
                <w:szCs w:val="19"/>
              </w:rPr>
              <w:t xml:space="preserve">Parámetros</w:t>
            </w:r>
          </w:p>
        </w:tc>
        <w:tc>
          <w:tcPr>
            <w:tcW w:type="dxa" w:w="4680"/>
            <w:shd w:fill="F5F7FA" w:val="clear"/>
            <w:tcMar>
              <w:top w:type="dxa" w:w="70"/>
              <w:left w:type="dxa" w:w="120"/>
              <w:bottom w:type="dxa" w:w="70"/>
              <w:right w:type="dxa" w:w="120"/>
            </w:tcMar>
          </w:tcPr>
          <w:p>
            <w:r>
              <w:rPr>
                <w:sz w:val="19"/>
                <w:szCs w:val="19"/>
              </w:rPr>
              <w:t xml:space="preserve">Umbrales de capacidad, puntos por defecto, presencia.</w:t>
            </w:r>
          </w:p>
        </w:tc>
      </w:tr>
      <w:tr>
        <w:tc>
          <w:tcPr>
            <w:tcW w:type="dxa" w:w="4680"/>
            <w:shd w:fill="FFFFFF" w:val="clear"/>
            <w:tcMar>
              <w:top w:type="dxa" w:w="70"/>
              <w:left w:type="dxa" w:w="120"/>
              <w:bottom w:type="dxa" w:w="70"/>
              <w:right w:type="dxa" w:w="120"/>
            </w:tcMar>
          </w:tcPr>
          <w:p>
            <w:r>
              <w:rPr>
                <w:sz w:val="19"/>
                <w:szCs w:val="19"/>
              </w:rPr>
              <w:t xml:space="preserve">Festivos</w:t>
            </w:r>
          </w:p>
        </w:tc>
        <w:tc>
          <w:tcPr>
            <w:tcW w:type="dxa" w:w="4680"/>
            <w:shd w:fill="FFFFFF" w:val="clear"/>
            <w:tcMar>
              <w:top w:type="dxa" w:w="70"/>
              <w:left w:type="dxa" w:w="120"/>
              <w:bottom w:type="dxa" w:w="70"/>
              <w:right w:type="dxa" w:w="120"/>
            </w:tcMar>
          </w:tcPr>
          <w:p>
            <w:r>
              <w:rPr>
                <w:sz w:val="19"/>
                <w:szCs w:val="19"/>
              </w:rPr>
              <w:t xml:space="preserve">Días no laborales para el cálculo de fechas.</w:t>
            </w:r>
          </w:p>
        </w:tc>
      </w:tr>
    </w:tbl>
    <w:p>
      <w:pPr>
        <w:pStyle w:val="Heading1"/>
      </w:pPr>
      <w:r>
        <w:t xml:space="preserve">Usuarios</w:t>
      </w:r>
    </w:p>
    <w:p>
      <w:pPr>
        <w:pStyle w:val="ListParagraph"/>
        <w:numPr>
          <w:ilvl w:val="0"/>
          <w:numId w:val="3"/>
        </w:numPr>
      </w:pPr>
      <w:r>
        <w:t xml:space="preserve">Crea usuarios y asígnales rol y capacidad semanal.</w:t>
      </w:r>
    </w:p>
    <w:p>
      <w:pPr>
        <w:pStyle w:val="ListParagraph"/>
        <w:numPr>
          <w:ilvl w:val="0"/>
          <w:numId w:val="3"/>
        </w:numPr>
      </w:pPr>
      <w:r>
        <w:t xml:space="preserve">Genera un enlace de restablecimiento de contraseña para entregárselo a la persona.</w:t>
      </w:r>
    </w:p>
    <w:p>
      <w:pPr>
        <w:pStyle w:val="ListParagraph"/>
        <w:numPr>
          <w:ilvl w:val="0"/>
          <w:numId w:val="3"/>
        </w:numPr>
      </w:pPr>
      <w:r>
        <w:t xml:space="preserve">Al desactivar un usuario, sus sesiones se cierran de inmediato.</w:t>
      </w:r>
    </w:p>
    <w:p>
      <w:pPr>
        <w:pStyle w:val="Heading1"/>
      </w:pPr>
      <w:r>
        <w:t xml:space="preserve">Decisiones</w:t>
      </w:r>
    </w:p>
    <w:p>
      <w:r>
        <w:t xml:space="preserve">Bitácora formal de acuerdos: cada decisión queda con su descripción, responsable, fecha límite, impacto y estado (Pendiente, En Progreso, Implementada, Cancelada), ligada a un proyecto o programa. Al asignar una decisión, su responsable recibe notificación y la ve en Mi Espacio y en el calendario.</w:t>
      </w:r>
    </w:p>
    <w:p>
      <w:pPr>
        <w:pStyle w:val="Heading1"/>
      </w:pPr>
      <w:r>
        <w:t xml:space="preserve">Reportes y exportaciones</w:t>
      </w:r>
    </w:p>
    <w:p>
      <w:pPr>
        <w:pStyle w:val="ListParagraph"/>
        <w:numPr>
          <w:ilvl w:val="0"/>
          <w:numId w:val="3"/>
        </w:numPr>
      </w:pPr>
      <w:r>
        <w:t xml:space="preserve">Reportes: rankings de programas y asignaturas por avance, carga por rol y por persona.</w:t>
      </w:r>
    </w:p>
    <w:p>
      <w:pPr>
        <w:pStyle w:val="ListParagraph"/>
        <w:numPr>
          <w:ilvl w:val="0"/>
          <w:numId w:val="3"/>
        </w:numPr>
      </w:pPr>
      <w:r>
        <w:t xml:space="preserve">Exportar entregables a CSV, con las fechas y estados de cada rol.</w:t>
      </w:r>
    </w:p>
    <w:p>
      <w:pPr>
        <w:pStyle w:val="ListParagraph"/>
        <w:numPr>
          <w:ilvl w:val="0"/>
          <w:numId w:val="3"/>
        </w:numPr>
      </w:pPr>
      <w:r>
        <w:t xml:space="preserve">Exportar producción a CSV, con tipo de recurso, cantidad y nivel.</w:t>
      </w:r>
    </w:p>
    <w:p>
      <w:pPr>
        <w:pStyle w:val="Heading1"/>
      </w:pPr>
      <w:r>
        <w:t xml:space="preserve">Notificaciones</w:t>
      </w:r>
    </w:p>
    <w:p>
      <w:r>
        <w:t xml:space="preserve">Las notificaciones llegan por dos vías a la vez: la campana dentro de la aplicación y el correo electrónico. La campana no reemplaza el correo.</w:t>
      </w:r>
    </w:p>
    <w:p>
      <w:pPr>
        <w:pStyle w:val="Heading2"/>
      </w:pPr>
      <w:r>
        <w:t xml:space="preserve">Categorías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94276" w:val="clear"/>
            <w:tcMar>
              <w:top w:type="dxa" w:w="80"/>
              <w:left w:type="dxa" w:w="120"/>
              <w:bottom w:type="dxa" w:w="80"/>
              <w:right w:type="dxa" w:w="120"/>
            </w:tcMar>
          </w:tcPr>
          <w:p>
            <w:r>
              <w:rPr>
                <w:b/>
                <w:bCs/>
                <w:color w:val="FFFFFF"/>
                <w:sz w:val="19"/>
                <w:szCs w:val="19"/>
              </w:rPr>
              <w:t xml:space="preserve">Categoría</w:t>
            </w:r>
          </w:p>
        </w:tc>
        <w:tc>
          <w:tcPr>
            <w:tcW w:type="dxa" w:w="3120"/>
            <w:shd w:fill="194276" w:val="clear"/>
            <w:tcMar>
              <w:top w:type="dxa" w:w="80"/>
              <w:left w:type="dxa" w:w="120"/>
              <w:bottom w:type="dxa" w:w="80"/>
              <w:right w:type="dxa" w:w="120"/>
            </w:tcMar>
          </w:tcPr>
          <w:p>
            <w:r>
              <w:rPr>
                <w:b/>
                <w:bCs/>
                <w:color w:val="FFFFFF"/>
                <w:sz w:val="19"/>
                <w:szCs w:val="19"/>
              </w:rPr>
              <w:t xml:space="preserve">Qué avisa</w:t>
            </w:r>
          </w:p>
        </w:tc>
        <w:tc>
          <w:tcPr>
            <w:tcW w:type="dxa" w:w="3120"/>
            <w:shd w:fill="194276" w:val="clear"/>
            <w:tcMar>
              <w:top w:type="dxa" w:w="80"/>
              <w:left w:type="dxa" w:w="120"/>
              <w:bottom w:type="dxa" w:w="80"/>
              <w:right w:type="dxa" w:w="120"/>
            </w:tcMar>
          </w:tcPr>
          <w:p>
            <w:r>
              <w:rPr>
                <w:b/>
                <w:bCs/>
                <w:color w:val="FFFFFF"/>
                <w:sz w:val="19"/>
                <w:szCs w:val="19"/>
              </w:rPr>
              <w:t xml:space="preserve">Por defecto</w:t>
            </w:r>
          </w:p>
        </w:tc>
      </w:tr>
      <w:tr>
        <w:tc>
          <w:tcPr>
            <w:tcW w:type="dxa" w:w="3120"/>
            <w:shd w:fill="FFFFFF" w:val="clear"/>
            <w:tcMar>
              <w:top w:type="dxa" w:w="70"/>
              <w:left w:type="dxa" w:w="120"/>
              <w:bottom w:type="dxa" w:w="70"/>
              <w:right w:type="dxa" w:w="120"/>
            </w:tcMar>
          </w:tcPr>
          <w:p>
            <w:r>
              <w:rPr>
                <w:sz w:val="19"/>
                <w:szCs w:val="19"/>
              </w:rPr>
              <w:t xml:space="preserve">Tareas</w:t>
            </w:r>
          </w:p>
        </w:tc>
        <w:tc>
          <w:tcPr>
            <w:tcW w:type="dxa" w:w="3120"/>
            <w:shd w:fill="FFFFFF" w:val="clear"/>
            <w:tcMar>
              <w:top w:type="dxa" w:w="70"/>
              <w:left w:type="dxa" w:w="120"/>
              <w:bottom w:type="dxa" w:w="70"/>
              <w:right w:type="dxa" w:w="120"/>
            </w:tcMar>
          </w:tcPr>
          <w:p>
            <w:r>
              <w:rPr>
                <w:sz w:val="19"/>
                <w:szCs w:val="19"/>
              </w:rPr>
              <w:t xml:space="preserve">Asignaciones, cambios de estado, ajustes solicitados, tu turno en el flujo</w:t>
            </w:r>
          </w:p>
        </w:tc>
        <w:tc>
          <w:tcPr>
            <w:tcW w:type="dxa" w:w="3120"/>
            <w:shd w:fill="FFFFFF" w:val="clear"/>
            <w:tcMar>
              <w:top w:type="dxa" w:w="70"/>
              <w:left w:type="dxa" w:w="120"/>
              <w:bottom w:type="dxa" w:w="70"/>
              <w:right w:type="dxa" w:w="120"/>
            </w:tcMar>
          </w:tcPr>
          <w:p>
            <w:r>
              <w:rPr>
                <w:sz w:val="19"/>
                <w:szCs w:val="19"/>
              </w:rPr>
              <w:t xml:space="preserve">Activada</w:t>
            </w:r>
          </w:p>
        </w:tc>
      </w:tr>
      <w:tr>
        <w:tc>
          <w:tcPr>
            <w:tcW w:type="dxa" w:w="3120"/>
            <w:shd w:fill="F5F7FA" w:val="clear"/>
            <w:tcMar>
              <w:top w:type="dxa" w:w="70"/>
              <w:left w:type="dxa" w:w="120"/>
              <w:bottom w:type="dxa" w:w="70"/>
              <w:right w:type="dxa" w:w="120"/>
            </w:tcMar>
          </w:tcPr>
          <w:p>
            <w:r>
              <w:rPr>
                <w:sz w:val="19"/>
                <w:szCs w:val="19"/>
              </w:rPr>
              <w:t xml:space="preserve">Chat</w:t>
            </w:r>
          </w:p>
        </w:tc>
        <w:tc>
          <w:tcPr>
            <w:tcW w:type="dxa" w:w="3120"/>
            <w:shd w:fill="F5F7FA" w:val="clear"/>
            <w:tcMar>
              <w:top w:type="dxa" w:w="70"/>
              <w:left w:type="dxa" w:w="120"/>
              <w:bottom w:type="dxa" w:w="70"/>
              <w:right w:type="dxa" w:w="120"/>
            </w:tcMar>
          </w:tcPr>
          <w:p>
            <w:r>
              <w:rPr>
                <w:sz w:val="19"/>
                <w:szCs w:val="19"/>
              </w:rPr>
              <w:t xml:space="preserve">Menciones con @, canales, comentarios</w:t>
            </w:r>
          </w:p>
        </w:tc>
        <w:tc>
          <w:tcPr>
            <w:tcW w:type="dxa" w:w="3120"/>
            <w:shd w:fill="F5F7FA" w:val="clear"/>
            <w:tcMar>
              <w:top w:type="dxa" w:w="70"/>
              <w:left w:type="dxa" w:w="120"/>
              <w:bottom w:type="dxa" w:w="70"/>
              <w:right w:type="dxa" w:w="120"/>
            </w:tcMar>
          </w:tcPr>
          <w:p>
            <w:r>
              <w:rPr>
                <w:sz w:val="19"/>
                <w:szCs w:val="19"/>
              </w:rPr>
              <w:t xml:space="preserve">Desactivada</w:t>
            </w:r>
          </w:p>
        </w:tc>
      </w:tr>
      <w:tr>
        <w:tc>
          <w:tcPr>
            <w:tcW w:type="dxa" w:w="3120"/>
            <w:shd w:fill="FFFFFF" w:val="clear"/>
            <w:tcMar>
              <w:top w:type="dxa" w:w="70"/>
              <w:left w:type="dxa" w:w="120"/>
              <w:bottom w:type="dxa" w:w="70"/>
              <w:right w:type="dxa" w:w="120"/>
            </w:tcMar>
          </w:tcPr>
          <w:p>
            <w:r>
              <w:rPr>
                <w:sz w:val="19"/>
                <w:szCs w:val="19"/>
              </w:rPr>
              <w:t xml:space="preserve">Vencimientos</w:t>
            </w:r>
          </w:p>
        </w:tc>
        <w:tc>
          <w:tcPr>
            <w:tcW w:type="dxa" w:w="3120"/>
            <w:shd w:fill="FFFFFF" w:val="clear"/>
            <w:tcMar>
              <w:top w:type="dxa" w:w="70"/>
              <w:left w:type="dxa" w:w="120"/>
              <w:bottom w:type="dxa" w:w="70"/>
              <w:right w:type="dxa" w:w="120"/>
            </w:tcMar>
          </w:tcPr>
          <w:p>
            <w:r>
              <w:rPr>
                <w:sz w:val="19"/>
                <w:szCs w:val="19"/>
              </w:rPr>
              <w:t xml:space="preserve">Recordatorios de fechas límite</w:t>
            </w:r>
          </w:p>
        </w:tc>
        <w:tc>
          <w:tcPr>
            <w:tcW w:type="dxa" w:w="3120"/>
            <w:shd w:fill="FFFFFF" w:val="clear"/>
            <w:tcMar>
              <w:top w:type="dxa" w:w="70"/>
              <w:left w:type="dxa" w:w="120"/>
              <w:bottom w:type="dxa" w:w="70"/>
              <w:right w:type="dxa" w:w="120"/>
            </w:tcMar>
          </w:tcPr>
          <w:p>
            <w:r>
              <w:rPr>
                <w:sz w:val="19"/>
                <w:szCs w:val="19"/>
              </w:rPr>
              <w:t xml:space="preserve">Desactivada</w:t>
            </w:r>
          </w:p>
        </w:tc>
      </w:tr>
    </w:tbl>
    <w:p>
      <w:r>
        <w:t xml:space="preserve">Puedes activar o desactivar cada categoría desde Mi Perfil → Notificaciones por correo. La campana dentro de la aplicación siempre muestra todo.</w:t>
      </w:r>
    </w:p>
    <w:p>
      <w:pPr>
        <w:pStyle w:val="Heading1"/>
      </w:pPr>
      <w:r>
        <w:t xml:space="preserve">Colaboración y calendario</w:t>
      </w:r>
    </w:p>
    <w:p>
      <w:pPr>
        <w:pStyle w:val="Heading2"/>
      </w:pPr>
      <w:r>
        <w:t xml:space="preserve">Canales de chat</w:t>
      </w:r>
    </w:p>
    <w:p>
      <w:pPr>
        <w:pStyle w:val="ListParagraph"/>
        <w:numPr>
          <w:ilvl w:val="0"/>
          <w:numId w:val="3"/>
        </w:numPr>
      </w:pPr>
      <w:r>
        <w:t xml:space="preserve">Escribe @ para mencionar a alguien: le llega notificación.</w:t>
      </w:r>
    </w:p>
    <w:p>
      <w:pPr>
        <w:pStyle w:val="ListParagraph"/>
        <w:numPr>
          <w:ilvl w:val="0"/>
          <w:numId w:val="3"/>
        </w:numPr>
      </w:pPr>
      <w:r>
        <w:t xml:space="preserve">Los canales privados solo los ven sus miembros.</w:t>
      </w:r>
    </w:p>
    <w:p>
      <w:pPr>
        <w:pStyle w:val="ListParagraph"/>
        <w:numPr>
          <w:ilvl w:val="0"/>
          <w:numId w:val="3"/>
        </w:numPr>
      </w:pPr>
      <w:r>
        <w:t xml:space="preserve">Puedes responder en hilo, editar y copiar tus mensajes.</w:t>
      </w:r>
    </w:p>
    <w:p>
      <w:pPr>
        <w:pStyle w:val="Heading2"/>
      </w:pPr>
      <w:r>
        <w:t xml:space="preserve">Calendario</w:t>
      </w:r>
    </w:p>
    <w:p>
      <w:r>
        <w:t xml:space="preserve">Muestra las fechas de entrega en chips de color según su estado. Los festivos nacionales aparecen en amarillo. El indicador "Cumplimiento de esta semana" mide solo las actividades con fecha límite en la semana en curso; si no tienes ninguna, dirá "Sin actividades esta semana".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672"/>
        <w:sz w:val="16"/>
        <w:szCs w:val="16"/>
      </w:rPr>
      <w:t xml:space="preserve">Sergestiona 2.0 · Universidad Sergio Arboleda · Página </w:t>
    </w:r>
    <w:r>
      <w:rPr>
        <w:color w:val="5C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120"/>
    </w:pPr>
    <w:rPr>
      <w:rFonts w:ascii="Calibri" w:cs="Calibri" w:eastAsia="Calibri" w:hAnsi="Calibri"/>
      <w:b/>
      <w:bCs/>
      <w:color w:val="194276"/>
      <w:sz w:val="52"/>
      <w:szCs w:val="52"/>
    </w:rPr>
  </w:style>
  <w:style w:type="paragraph" w:styleId="Heading1">
    <w:name w:val="Heading 1"/>
    <w:basedOn w:val="Normal"/>
    <w:next w:val="Normal"/>
    <w:qFormat/>
    <w:pPr>
      <w:pBdr>
        <w:bottom w:val="single" w:color="D8DEE8" w:sz="6" w:space="6"/>
      </w:pBdr>
      <w:spacing w:after="160" w:before="360"/>
    </w:pPr>
    <w:rPr>
      <w:rFonts w:ascii="Calibri" w:cs="Calibri" w:eastAsia="Calibri" w:hAnsi="Calibri"/>
      <w:b/>
      <w:bCs/>
      <w:color w:val="194276"/>
      <w:sz w:val="32"/>
      <w:szCs w:val="32"/>
    </w:rPr>
  </w:style>
  <w:style w:type="paragraph" w:styleId="Heading2">
    <w:name w:val="Heading 2"/>
    <w:basedOn w:val="Normal"/>
    <w:next w:val="Normal"/>
    <w:qFormat/>
    <w:pPr>
      <w:spacing w:after="100" w:before="260"/>
    </w:pPr>
    <w:rPr>
      <w:rFonts w:ascii="Calibri" w:cs="Calibri" w:eastAsia="Calibri" w:hAnsi="Calibri"/>
      <w:b/>
      <w:bCs/>
      <w:color w:val="2C3E56"/>
      <w:sz w:val="26"/>
      <w:szCs w:val="26"/>
    </w:rPr>
  </w:style>
  <w:style w:type="paragraph" w:styleId="Normal">
    <w:name w:val="Normal"/>
    <w:pPr>
      <w:spacing w:after="120"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2026-07-16T20:57:34.301Z</dcterms:created>
  <dcterms:modified xsi:type="dcterms:W3CDTF">2026-07-16T20:57:34.301Z</dcterms:modified>
</cp:coreProperties>
</file>

<file path=docProps/custom.xml><?xml version="1.0" encoding="utf-8"?>
<Properties xmlns="http://schemas.openxmlformats.org/officeDocument/2006/custom-properties" xmlns:vt="http://schemas.openxmlformats.org/officeDocument/2006/docPropsVTypes"/>
</file>