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DC681" w14:textId="77777777" w:rsidR="002036B7" w:rsidRPr="000C0051" w:rsidRDefault="002036B7" w:rsidP="002036B7">
      <w:pPr>
        <w:pStyle w:val="Tableau"/>
      </w:pPr>
      <w:bookmarkStart w:id="0" w:name="_Toc198108879"/>
      <w:r>
        <w:t>T</w:t>
      </w:r>
      <w:r w:rsidRPr="000C0051">
        <w:t>ableau 1 :</w:t>
      </w:r>
      <w:r>
        <w:t xml:space="preserve"> </w:t>
      </w:r>
      <w:r w:rsidRPr="000C0051">
        <w:t xml:space="preserve">Métadonnées </w:t>
      </w:r>
      <w:r>
        <w:t>des indicateurs</w:t>
      </w:r>
      <w:r w:rsidRPr="000C0051">
        <w:t xml:space="preserve"> des communes</w:t>
      </w:r>
      <w:bookmarkEnd w:id="0"/>
    </w:p>
    <w:tbl>
      <w:tblPr>
        <w:tblW w:w="5620" w:type="pct"/>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707"/>
        <w:gridCol w:w="1279"/>
        <w:gridCol w:w="2030"/>
        <w:gridCol w:w="2760"/>
        <w:gridCol w:w="2722"/>
        <w:gridCol w:w="2410"/>
        <w:gridCol w:w="1697"/>
      </w:tblGrid>
      <w:tr w:rsidR="002036B7" w:rsidRPr="000C0051" w14:paraId="3B880A50" w14:textId="77777777" w:rsidTr="002036B7">
        <w:trPr>
          <w:trHeight w:val="20"/>
        </w:trPr>
        <w:tc>
          <w:tcPr>
            <w:tcW w:w="584" w:type="pct"/>
            <w:shd w:val="clear" w:color="000000" w:fill="F4B084"/>
            <w:vAlign w:val="center"/>
            <w:hideMark/>
          </w:tcPr>
          <w:p w14:paraId="42F4F78A"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THEMATIQUES</w:t>
            </w:r>
          </w:p>
        </w:tc>
        <w:tc>
          <w:tcPr>
            <w:tcW w:w="438" w:type="pct"/>
            <w:shd w:val="clear" w:color="000000" w:fill="F4B084"/>
            <w:vAlign w:val="center"/>
            <w:hideMark/>
          </w:tcPr>
          <w:p w14:paraId="4AC93735"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BESOINS</w:t>
            </w:r>
          </w:p>
        </w:tc>
        <w:tc>
          <w:tcPr>
            <w:tcW w:w="695" w:type="pct"/>
            <w:shd w:val="clear" w:color="000000" w:fill="F4B084"/>
            <w:vAlign w:val="center"/>
            <w:hideMark/>
          </w:tcPr>
          <w:p w14:paraId="2457D06F"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INDICATEURS</w:t>
            </w:r>
          </w:p>
        </w:tc>
        <w:tc>
          <w:tcPr>
            <w:tcW w:w="945" w:type="pct"/>
            <w:shd w:val="clear" w:color="000000" w:fill="F4B084"/>
            <w:vAlign w:val="center"/>
            <w:hideMark/>
          </w:tcPr>
          <w:p w14:paraId="57E4068B"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MODE DE CALCUL DES INDICATEURS</w:t>
            </w:r>
          </w:p>
        </w:tc>
        <w:tc>
          <w:tcPr>
            <w:tcW w:w="932" w:type="pct"/>
            <w:shd w:val="clear" w:color="000000" w:fill="F4B084"/>
            <w:vAlign w:val="center"/>
            <w:hideMark/>
          </w:tcPr>
          <w:p w14:paraId="61DBE2A1"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VARIABLES OPERATIONNELLES</w:t>
            </w:r>
          </w:p>
        </w:tc>
        <w:tc>
          <w:tcPr>
            <w:tcW w:w="825" w:type="pct"/>
            <w:shd w:val="clear" w:color="000000" w:fill="F4B084"/>
            <w:vAlign w:val="center"/>
            <w:hideMark/>
          </w:tcPr>
          <w:p w14:paraId="4B92160D"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DEFINITION DES CONCEPTS CLES</w:t>
            </w:r>
          </w:p>
        </w:tc>
        <w:tc>
          <w:tcPr>
            <w:tcW w:w="581" w:type="pct"/>
            <w:shd w:val="clear" w:color="000000" w:fill="F4B084"/>
            <w:vAlign w:val="center"/>
            <w:hideMark/>
          </w:tcPr>
          <w:p w14:paraId="3E64C937" w14:textId="77777777" w:rsidR="002036B7" w:rsidRPr="000C0051"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0C0051">
              <w:rPr>
                <w:rFonts w:ascii="Georgia" w:eastAsia="Times New Roman" w:hAnsi="Georgia" w:cs="Calibri"/>
                <w:b/>
                <w:bCs/>
                <w:color w:val="000000"/>
                <w:sz w:val="18"/>
                <w:szCs w:val="18"/>
                <w:lang w:eastAsia="fr-FR"/>
              </w:rPr>
              <w:t>OBSERVATION</w:t>
            </w:r>
          </w:p>
        </w:tc>
      </w:tr>
      <w:tr w:rsidR="002036B7" w:rsidRPr="000C0051" w14:paraId="3922E23F" w14:textId="77777777" w:rsidTr="002036B7">
        <w:trPr>
          <w:trHeight w:val="20"/>
        </w:trPr>
        <w:tc>
          <w:tcPr>
            <w:tcW w:w="584" w:type="pct"/>
            <w:shd w:val="clear" w:color="auto" w:fill="auto"/>
            <w:vAlign w:val="center"/>
            <w:hideMark/>
          </w:tcPr>
          <w:p w14:paraId="6D0075E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Démographie</w:t>
            </w:r>
          </w:p>
        </w:tc>
        <w:tc>
          <w:tcPr>
            <w:tcW w:w="438" w:type="pct"/>
            <w:shd w:val="clear" w:color="auto" w:fill="auto"/>
            <w:noWrap/>
            <w:vAlign w:val="center"/>
            <w:hideMark/>
          </w:tcPr>
          <w:p w14:paraId="45B80CC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Etat de la population</w:t>
            </w:r>
          </w:p>
        </w:tc>
        <w:tc>
          <w:tcPr>
            <w:tcW w:w="695" w:type="pct"/>
            <w:shd w:val="clear" w:color="auto" w:fill="auto"/>
            <w:noWrap/>
            <w:vAlign w:val="center"/>
            <w:hideMark/>
          </w:tcPr>
          <w:p w14:paraId="40CE79C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total de la population</w:t>
            </w:r>
          </w:p>
        </w:tc>
        <w:tc>
          <w:tcPr>
            <w:tcW w:w="945" w:type="pct"/>
            <w:shd w:val="clear" w:color="auto" w:fill="auto"/>
            <w:noWrap/>
            <w:vAlign w:val="center"/>
            <w:hideMark/>
          </w:tcPr>
          <w:p w14:paraId="4C2247B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5A27214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total de la population</w:t>
            </w:r>
          </w:p>
        </w:tc>
        <w:tc>
          <w:tcPr>
            <w:tcW w:w="825" w:type="pct"/>
            <w:shd w:val="clear" w:color="auto" w:fill="auto"/>
            <w:noWrap/>
            <w:vAlign w:val="bottom"/>
            <w:hideMark/>
          </w:tcPr>
          <w:p w14:paraId="2A35B302"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c>
          <w:tcPr>
            <w:tcW w:w="581" w:type="pct"/>
            <w:shd w:val="clear" w:color="auto" w:fill="auto"/>
            <w:noWrap/>
            <w:vAlign w:val="center"/>
            <w:hideMark/>
          </w:tcPr>
          <w:p w14:paraId="69212F5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07E2FF76" w14:textId="77777777" w:rsidTr="002036B7">
        <w:trPr>
          <w:trHeight w:val="20"/>
        </w:trPr>
        <w:tc>
          <w:tcPr>
            <w:tcW w:w="584" w:type="pct"/>
            <w:shd w:val="clear" w:color="auto" w:fill="auto"/>
            <w:vAlign w:val="center"/>
            <w:hideMark/>
          </w:tcPr>
          <w:p w14:paraId="0A4E4E1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Démographie</w:t>
            </w:r>
          </w:p>
        </w:tc>
        <w:tc>
          <w:tcPr>
            <w:tcW w:w="438" w:type="pct"/>
            <w:shd w:val="clear" w:color="auto" w:fill="auto"/>
            <w:noWrap/>
            <w:vAlign w:val="center"/>
            <w:hideMark/>
          </w:tcPr>
          <w:p w14:paraId="7916EC4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Structure de la population</w:t>
            </w:r>
          </w:p>
        </w:tc>
        <w:tc>
          <w:tcPr>
            <w:tcW w:w="695" w:type="pct"/>
            <w:shd w:val="clear" w:color="auto" w:fill="auto"/>
            <w:noWrap/>
            <w:vAlign w:val="center"/>
            <w:hideMark/>
          </w:tcPr>
          <w:p w14:paraId="7F7409E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la population par sexe</w:t>
            </w:r>
          </w:p>
        </w:tc>
        <w:tc>
          <w:tcPr>
            <w:tcW w:w="945" w:type="pct"/>
            <w:shd w:val="clear" w:color="auto" w:fill="auto"/>
            <w:noWrap/>
            <w:vAlign w:val="center"/>
            <w:hideMark/>
          </w:tcPr>
          <w:p w14:paraId="21ADE61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27602F0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la population par sexe (Masculin, féminin)</w:t>
            </w:r>
          </w:p>
        </w:tc>
        <w:tc>
          <w:tcPr>
            <w:tcW w:w="825" w:type="pct"/>
            <w:shd w:val="clear" w:color="auto" w:fill="auto"/>
            <w:noWrap/>
            <w:vAlign w:val="bottom"/>
            <w:hideMark/>
          </w:tcPr>
          <w:p w14:paraId="2FFA2938"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c>
          <w:tcPr>
            <w:tcW w:w="581" w:type="pct"/>
            <w:shd w:val="clear" w:color="auto" w:fill="auto"/>
            <w:noWrap/>
            <w:vAlign w:val="center"/>
            <w:hideMark/>
          </w:tcPr>
          <w:p w14:paraId="2B0C09D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6187800E" w14:textId="77777777" w:rsidTr="002036B7">
        <w:trPr>
          <w:trHeight w:val="20"/>
        </w:trPr>
        <w:tc>
          <w:tcPr>
            <w:tcW w:w="584" w:type="pct"/>
            <w:shd w:val="clear" w:color="auto" w:fill="auto"/>
            <w:vAlign w:val="center"/>
            <w:hideMark/>
          </w:tcPr>
          <w:p w14:paraId="2A6F10B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Démographie</w:t>
            </w:r>
          </w:p>
        </w:tc>
        <w:tc>
          <w:tcPr>
            <w:tcW w:w="438" w:type="pct"/>
            <w:shd w:val="clear" w:color="auto" w:fill="auto"/>
            <w:noWrap/>
            <w:vAlign w:val="center"/>
            <w:hideMark/>
          </w:tcPr>
          <w:p w14:paraId="01E1BEF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Structure de la population</w:t>
            </w:r>
          </w:p>
        </w:tc>
        <w:tc>
          <w:tcPr>
            <w:tcW w:w="695" w:type="pct"/>
            <w:shd w:val="clear" w:color="auto" w:fill="auto"/>
            <w:noWrap/>
            <w:vAlign w:val="center"/>
            <w:hideMark/>
          </w:tcPr>
          <w:p w14:paraId="4C68965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la population par tranche d'âge</w:t>
            </w:r>
          </w:p>
        </w:tc>
        <w:tc>
          <w:tcPr>
            <w:tcW w:w="945" w:type="pct"/>
            <w:shd w:val="clear" w:color="auto" w:fill="auto"/>
            <w:noWrap/>
            <w:vAlign w:val="center"/>
            <w:hideMark/>
          </w:tcPr>
          <w:p w14:paraId="635CB52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769E0AA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la population par tranche d'âge (moins de 5ans, 6-17ans, 18-60ans, 60 ans ou plus</w:t>
            </w:r>
          </w:p>
        </w:tc>
        <w:tc>
          <w:tcPr>
            <w:tcW w:w="825" w:type="pct"/>
            <w:shd w:val="clear" w:color="auto" w:fill="auto"/>
            <w:noWrap/>
            <w:vAlign w:val="bottom"/>
            <w:hideMark/>
          </w:tcPr>
          <w:p w14:paraId="280AB98D"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c>
          <w:tcPr>
            <w:tcW w:w="581" w:type="pct"/>
            <w:shd w:val="clear" w:color="auto" w:fill="auto"/>
            <w:noWrap/>
            <w:vAlign w:val="center"/>
            <w:hideMark/>
          </w:tcPr>
          <w:p w14:paraId="3E7D21D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15568A3D" w14:textId="77777777" w:rsidTr="002036B7">
        <w:trPr>
          <w:trHeight w:val="20"/>
        </w:trPr>
        <w:tc>
          <w:tcPr>
            <w:tcW w:w="584" w:type="pct"/>
            <w:shd w:val="clear" w:color="auto" w:fill="auto"/>
            <w:vAlign w:val="center"/>
            <w:hideMark/>
          </w:tcPr>
          <w:p w14:paraId="2648823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Démographie</w:t>
            </w:r>
          </w:p>
        </w:tc>
        <w:tc>
          <w:tcPr>
            <w:tcW w:w="438" w:type="pct"/>
            <w:shd w:val="clear" w:color="auto" w:fill="auto"/>
            <w:noWrap/>
            <w:vAlign w:val="center"/>
            <w:hideMark/>
          </w:tcPr>
          <w:p w14:paraId="46B8256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Structure de la population</w:t>
            </w:r>
          </w:p>
        </w:tc>
        <w:tc>
          <w:tcPr>
            <w:tcW w:w="695" w:type="pct"/>
            <w:shd w:val="clear" w:color="auto" w:fill="auto"/>
            <w:noWrap/>
            <w:vAlign w:val="center"/>
            <w:hideMark/>
          </w:tcPr>
          <w:p w14:paraId="217F23A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personnes en situation de handicap</w:t>
            </w:r>
          </w:p>
        </w:tc>
        <w:tc>
          <w:tcPr>
            <w:tcW w:w="945" w:type="pct"/>
            <w:shd w:val="clear" w:color="auto" w:fill="auto"/>
            <w:noWrap/>
            <w:vAlign w:val="center"/>
            <w:hideMark/>
          </w:tcPr>
          <w:p w14:paraId="25878B9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5C031C7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personnes en situation de handicap</w:t>
            </w:r>
          </w:p>
        </w:tc>
        <w:tc>
          <w:tcPr>
            <w:tcW w:w="825" w:type="pct"/>
            <w:shd w:val="clear" w:color="auto" w:fill="auto"/>
            <w:noWrap/>
            <w:vAlign w:val="bottom"/>
            <w:hideMark/>
          </w:tcPr>
          <w:p w14:paraId="7E67B753"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c>
          <w:tcPr>
            <w:tcW w:w="581" w:type="pct"/>
            <w:shd w:val="clear" w:color="auto" w:fill="auto"/>
            <w:noWrap/>
            <w:vAlign w:val="center"/>
            <w:hideMark/>
          </w:tcPr>
          <w:p w14:paraId="6BF0F0E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139DF604" w14:textId="77777777" w:rsidTr="002036B7">
        <w:trPr>
          <w:trHeight w:val="20"/>
        </w:trPr>
        <w:tc>
          <w:tcPr>
            <w:tcW w:w="584" w:type="pct"/>
            <w:shd w:val="clear" w:color="auto" w:fill="auto"/>
            <w:vAlign w:val="center"/>
            <w:hideMark/>
          </w:tcPr>
          <w:p w14:paraId="3402022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Démographie</w:t>
            </w:r>
          </w:p>
        </w:tc>
        <w:tc>
          <w:tcPr>
            <w:tcW w:w="438" w:type="pct"/>
            <w:shd w:val="clear" w:color="auto" w:fill="auto"/>
            <w:noWrap/>
            <w:vAlign w:val="center"/>
            <w:hideMark/>
          </w:tcPr>
          <w:p w14:paraId="4C1A652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Structure de la population</w:t>
            </w:r>
          </w:p>
        </w:tc>
        <w:tc>
          <w:tcPr>
            <w:tcW w:w="695" w:type="pct"/>
            <w:shd w:val="clear" w:color="auto" w:fill="auto"/>
            <w:noWrap/>
            <w:vAlign w:val="center"/>
            <w:hideMark/>
          </w:tcPr>
          <w:p w14:paraId="2BA70C6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personnes par secteur d'activité</w:t>
            </w:r>
          </w:p>
        </w:tc>
        <w:tc>
          <w:tcPr>
            <w:tcW w:w="945" w:type="pct"/>
            <w:shd w:val="clear" w:color="auto" w:fill="auto"/>
            <w:noWrap/>
            <w:vAlign w:val="center"/>
            <w:hideMark/>
          </w:tcPr>
          <w:p w14:paraId="42932AE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22E199D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personnes dans le secteur agricole, élevage, pêche, tourisme, exploitation minière, industrie, artisanat, commerce</w:t>
            </w:r>
          </w:p>
        </w:tc>
        <w:tc>
          <w:tcPr>
            <w:tcW w:w="825" w:type="pct"/>
            <w:shd w:val="clear" w:color="auto" w:fill="auto"/>
            <w:noWrap/>
            <w:vAlign w:val="bottom"/>
            <w:hideMark/>
          </w:tcPr>
          <w:p w14:paraId="43D7903E"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c>
          <w:tcPr>
            <w:tcW w:w="581" w:type="pct"/>
            <w:shd w:val="clear" w:color="auto" w:fill="auto"/>
            <w:noWrap/>
            <w:vAlign w:val="center"/>
            <w:hideMark/>
          </w:tcPr>
          <w:p w14:paraId="3FC56AC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2218F89B" w14:textId="77777777" w:rsidTr="002036B7">
        <w:trPr>
          <w:trHeight w:val="20"/>
        </w:trPr>
        <w:tc>
          <w:tcPr>
            <w:tcW w:w="584" w:type="pct"/>
            <w:shd w:val="clear" w:color="auto" w:fill="auto"/>
            <w:vAlign w:val="center"/>
            <w:hideMark/>
          </w:tcPr>
          <w:p w14:paraId="2DF3A0E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Santé</w:t>
            </w:r>
          </w:p>
        </w:tc>
        <w:tc>
          <w:tcPr>
            <w:tcW w:w="438" w:type="pct"/>
            <w:shd w:val="clear" w:color="auto" w:fill="auto"/>
            <w:vAlign w:val="center"/>
            <w:hideMark/>
          </w:tcPr>
          <w:p w14:paraId="76700F7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Adéquation de l'offre et demande sanitaire</w:t>
            </w:r>
          </w:p>
        </w:tc>
        <w:tc>
          <w:tcPr>
            <w:tcW w:w="695" w:type="pct"/>
            <w:shd w:val="clear" w:color="auto" w:fill="auto"/>
            <w:vAlign w:val="center"/>
            <w:hideMark/>
          </w:tcPr>
          <w:p w14:paraId="440E0A6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Ratio centre de santé par rapport à l'effectif de la population </w:t>
            </w:r>
          </w:p>
        </w:tc>
        <w:tc>
          <w:tcPr>
            <w:tcW w:w="945" w:type="pct"/>
            <w:shd w:val="clear" w:color="auto" w:fill="auto"/>
            <w:vAlign w:val="center"/>
            <w:hideMark/>
          </w:tcPr>
          <w:p w14:paraId="69B1872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Ratio centre de santé par rapport à l'effectif de la population =Effectif des centres de santé d'une commune *100/ effectif de la population au sein cette commune </w:t>
            </w:r>
          </w:p>
        </w:tc>
        <w:tc>
          <w:tcPr>
            <w:tcW w:w="932" w:type="pct"/>
            <w:shd w:val="clear" w:color="auto" w:fill="auto"/>
            <w:vAlign w:val="center"/>
            <w:hideMark/>
          </w:tcPr>
          <w:p w14:paraId="5A9AC16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CSB1,</w:t>
            </w:r>
            <w:r>
              <w:rPr>
                <w:rFonts w:ascii="Georgia" w:eastAsia="Times New Roman" w:hAnsi="Georgia" w:cs="Calibri"/>
                <w:color w:val="000000"/>
                <w:sz w:val="18"/>
                <w:szCs w:val="18"/>
                <w:lang w:eastAsia="fr-FR"/>
              </w:rPr>
              <w:t xml:space="preserve"> </w:t>
            </w:r>
            <w:r w:rsidRPr="000C0051">
              <w:rPr>
                <w:rFonts w:ascii="Georgia" w:eastAsia="Times New Roman" w:hAnsi="Georgia" w:cs="Calibri"/>
                <w:color w:val="000000"/>
                <w:sz w:val="18"/>
                <w:szCs w:val="18"/>
                <w:lang w:eastAsia="fr-FR"/>
              </w:rPr>
              <w:t>CSB2, CHRR,</w:t>
            </w:r>
            <w:r>
              <w:rPr>
                <w:rFonts w:ascii="Georgia" w:eastAsia="Times New Roman" w:hAnsi="Georgia" w:cs="Calibri"/>
                <w:color w:val="000000"/>
                <w:sz w:val="18"/>
                <w:szCs w:val="18"/>
                <w:lang w:eastAsia="fr-FR"/>
              </w:rPr>
              <w:t xml:space="preserve"> </w:t>
            </w:r>
            <w:r w:rsidRPr="000C0051">
              <w:rPr>
                <w:rFonts w:ascii="Georgia" w:eastAsia="Times New Roman" w:hAnsi="Georgia" w:cs="Calibri"/>
                <w:color w:val="000000"/>
                <w:sz w:val="18"/>
                <w:szCs w:val="18"/>
                <w:lang w:eastAsia="fr-FR"/>
              </w:rPr>
              <w:t>CHRD,</w:t>
            </w:r>
            <w:r>
              <w:rPr>
                <w:rFonts w:ascii="Georgia" w:eastAsia="Times New Roman" w:hAnsi="Georgia" w:cs="Calibri"/>
                <w:color w:val="000000"/>
                <w:sz w:val="18"/>
                <w:szCs w:val="18"/>
                <w:lang w:eastAsia="fr-FR"/>
              </w:rPr>
              <w:t xml:space="preserve"> </w:t>
            </w:r>
            <w:r w:rsidRPr="000C0051">
              <w:rPr>
                <w:rFonts w:ascii="Georgia" w:eastAsia="Times New Roman" w:hAnsi="Georgia" w:cs="Calibri"/>
                <w:color w:val="000000"/>
                <w:sz w:val="18"/>
                <w:szCs w:val="18"/>
                <w:lang w:eastAsia="fr-FR"/>
              </w:rPr>
              <w:t>CHU</w:t>
            </w:r>
          </w:p>
        </w:tc>
        <w:tc>
          <w:tcPr>
            <w:tcW w:w="825" w:type="pct"/>
            <w:shd w:val="clear" w:color="auto" w:fill="auto"/>
            <w:vAlign w:val="center"/>
            <w:hideMark/>
          </w:tcPr>
          <w:p w14:paraId="7DFB5FC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vAlign w:val="center"/>
            <w:hideMark/>
          </w:tcPr>
          <w:p w14:paraId="2F95D4F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0683A85D" w14:textId="77777777" w:rsidTr="002036B7">
        <w:trPr>
          <w:trHeight w:val="20"/>
        </w:trPr>
        <w:tc>
          <w:tcPr>
            <w:tcW w:w="584" w:type="pct"/>
            <w:shd w:val="clear" w:color="auto" w:fill="auto"/>
            <w:vAlign w:val="center"/>
            <w:hideMark/>
          </w:tcPr>
          <w:p w14:paraId="33060E1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Education</w:t>
            </w:r>
          </w:p>
        </w:tc>
        <w:tc>
          <w:tcPr>
            <w:tcW w:w="438" w:type="pct"/>
            <w:shd w:val="clear" w:color="auto" w:fill="auto"/>
            <w:vAlign w:val="center"/>
            <w:hideMark/>
          </w:tcPr>
          <w:p w14:paraId="0A57D35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Adéquation de l'offre et demande scolaire</w:t>
            </w:r>
          </w:p>
        </w:tc>
        <w:tc>
          <w:tcPr>
            <w:tcW w:w="695" w:type="pct"/>
            <w:shd w:val="clear" w:color="auto" w:fill="auto"/>
            <w:vAlign w:val="center"/>
            <w:hideMark/>
          </w:tcPr>
          <w:p w14:paraId="6653668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Ratio école primaire par rapport au nombre d'enfants scolarisables à ce cycle</w:t>
            </w:r>
          </w:p>
        </w:tc>
        <w:tc>
          <w:tcPr>
            <w:tcW w:w="945" w:type="pct"/>
            <w:shd w:val="clear" w:color="auto" w:fill="auto"/>
            <w:vAlign w:val="center"/>
            <w:hideMark/>
          </w:tcPr>
          <w:p w14:paraId="2892270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Ratio école primaire par rapport au nombre d'enfants scolarisables à ce cycle=Effectif d'école primaire dans une commune *100/ effectif d'enfants scolarisés au sein de cette commune                                                          </w:t>
            </w:r>
          </w:p>
        </w:tc>
        <w:tc>
          <w:tcPr>
            <w:tcW w:w="932" w:type="pct"/>
            <w:shd w:val="clear" w:color="auto" w:fill="auto"/>
            <w:vAlign w:val="center"/>
            <w:hideMark/>
          </w:tcPr>
          <w:p w14:paraId="09F048C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l'école primaire</w:t>
            </w:r>
          </w:p>
        </w:tc>
        <w:tc>
          <w:tcPr>
            <w:tcW w:w="825" w:type="pct"/>
            <w:shd w:val="clear" w:color="auto" w:fill="auto"/>
            <w:vAlign w:val="center"/>
            <w:hideMark/>
          </w:tcPr>
          <w:p w14:paraId="6223EEB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vAlign w:val="center"/>
            <w:hideMark/>
          </w:tcPr>
          <w:p w14:paraId="17893A0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7522D9D8" w14:textId="77777777" w:rsidTr="002036B7">
        <w:trPr>
          <w:trHeight w:val="20"/>
        </w:trPr>
        <w:tc>
          <w:tcPr>
            <w:tcW w:w="584" w:type="pct"/>
            <w:shd w:val="clear" w:color="auto" w:fill="auto"/>
            <w:vAlign w:val="center"/>
            <w:hideMark/>
          </w:tcPr>
          <w:p w14:paraId="03DEA36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Education</w:t>
            </w:r>
          </w:p>
        </w:tc>
        <w:tc>
          <w:tcPr>
            <w:tcW w:w="438" w:type="pct"/>
            <w:shd w:val="clear" w:color="auto" w:fill="auto"/>
            <w:vAlign w:val="center"/>
            <w:hideMark/>
          </w:tcPr>
          <w:p w14:paraId="0F2F289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Adéquation de l'offre et demande scolaire</w:t>
            </w:r>
          </w:p>
        </w:tc>
        <w:tc>
          <w:tcPr>
            <w:tcW w:w="695" w:type="pct"/>
            <w:shd w:val="clear" w:color="auto" w:fill="auto"/>
            <w:vAlign w:val="center"/>
            <w:hideMark/>
          </w:tcPr>
          <w:p w14:paraId="1F350CF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Ratio collège par rapport au nombre d'enfants scolarisables à l'enseignement secondaire I</w:t>
            </w:r>
          </w:p>
        </w:tc>
        <w:tc>
          <w:tcPr>
            <w:tcW w:w="945" w:type="pct"/>
            <w:shd w:val="clear" w:color="auto" w:fill="auto"/>
            <w:vAlign w:val="center"/>
            <w:hideMark/>
          </w:tcPr>
          <w:p w14:paraId="513F069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Ratio collège par rapport au nombre d'enfants scolarisables à l'enseignement secondaire I=Effectif de collège au niveau d'une commune *100/ effectif des enfants scolarisés au sein d'une commune                                                                                    </w:t>
            </w:r>
          </w:p>
        </w:tc>
        <w:tc>
          <w:tcPr>
            <w:tcW w:w="932" w:type="pct"/>
            <w:shd w:val="clear" w:color="auto" w:fill="auto"/>
            <w:vAlign w:val="center"/>
            <w:hideMark/>
          </w:tcPr>
          <w:p w14:paraId="79EDBFA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collèges</w:t>
            </w:r>
          </w:p>
        </w:tc>
        <w:tc>
          <w:tcPr>
            <w:tcW w:w="825" w:type="pct"/>
            <w:shd w:val="clear" w:color="auto" w:fill="auto"/>
            <w:vAlign w:val="center"/>
            <w:hideMark/>
          </w:tcPr>
          <w:p w14:paraId="30DE44DB"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vAlign w:val="center"/>
            <w:hideMark/>
          </w:tcPr>
          <w:p w14:paraId="5A0461A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459E300C" w14:textId="77777777" w:rsidTr="002036B7">
        <w:trPr>
          <w:trHeight w:val="20"/>
        </w:trPr>
        <w:tc>
          <w:tcPr>
            <w:tcW w:w="584" w:type="pct"/>
            <w:shd w:val="clear" w:color="auto" w:fill="auto"/>
            <w:vAlign w:val="center"/>
            <w:hideMark/>
          </w:tcPr>
          <w:p w14:paraId="550C2AA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Education</w:t>
            </w:r>
          </w:p>
        </w:tc>
        <w:tc>
          <w:tcPr>
            <w:tcW w:w="438" w:type="pct"/>
            <w:shd w:val="clear" w:color="auto" w:fill="auto"/>
            <w:vAlign w:val="center"/>
            <w:hideMark/>
          </w:tcPr>
          <w:p w14:paraId="4ECE2EC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Adéquation de l'offre et demande scolaire</w:t>
            </w:r>
          </w:p>
        </w:tc>
        <w:tc>
          <w:tcPr>
            <w:tcW w:w="695" w:type="pct"/>
            <w:shd w:val="clear" w:color="auto" w:fill="auto"/>
            <w:vAlign w:val="center"/>
            <w:hideMark/>
          </w:tcPr>
          <w:p w14:paraId="56E457E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Ratio lycée par rapport au nombre d'enfants scolarisables à l'enseignement secondaire II</w:t>
            </w:r>
          </w:p>
        </w:tc>
        <w:tc>
          <w:tcPr>
            <w:tcW w:w="945" w:type="pct"/>
            <w:shd w:val="clear" w:color="auto" w:fill="auto"/>
            <w:vAlign w:val="center"/>
            <w:hideMark/>
          </w:tcPr>
          <w:p w14:paraId="110D6F8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Ratio lycée par rapport au nombre d'enfants scolarisables à l'enseignement secondaire II=Effectif des Lycées au niveau d'un commune *100/ effectif des </w:t>
            </w:r>
            <w:r w:rsidRPr="000C0051">
              <w:rPr>
                <w:rFonts w:ascii="Georgia" w:eastAsia="Times New Roman" w:hAnsi="Georgia" w:cs="Calibri"/>
                <w:color w:val="000000"/>
                <w:sz w:val="18"/>
                <w:szCs w:val="18"/>
                <w:lang w:eastAsia="fr-FR"/>
              </w:rPr>
              <w:lastRenderedPageBreak/>
              <w:t xml:space="preserve">enfants scolarisés au sein de cette commune                                            </w:t>
            </w:r>
          </w:p>
        </w:tc>
        <w:tc>
          <w:tcPr>
            <w:tcW w:w="932" w:type="pct"/>
            <w:shd w:val="clear" w:color="auto" w:fill="auto"/>
            <w:vAlign w:val="center"/>
            <w:hideMark/>
          </w:tcPr>
          <w:p w14:paraId="4B7C0E0B"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lastRenderedPageBreak/>
              <w:t>Effectif des lycées</w:t>
            </w:r>
          </w:p>
        </w:tc>
        <w:tc>
          <w:tcPr>
            <w:tcW w:w="825" w:type="pct"/>
            <w:shd w:val="clear" w:color="auto" w:fill="auto"/>
            <w:vAlign w:val="center"/>
            <w:hideMark/>
          </w:tcPr>
          <w:p w14:paraId="713395D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vAlign w:val="center"/>
            <w:hideMark/>
          </w:tcPr>
          <w:p w14:paraId="6308046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63CFAD34" w14:textId="77777777" w:rsidTr="002036B7">
        <w:trPr>
          <w:trHeight w:val="20"/>
        </w:trPr>
        <w:tc>
          <w:tcPr>
            <w:tcW w:w="584" w:type="pct"/>
            <w:shd w:val="clear" w:color="auto" w:fill="auto"/>
            <w:vAlign w:val="center"/>
            <w:hideMark/>
          </w:tcPr>
          <w:p w14:paraId="60A6188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EAU</w:t>
            </w:r>
          </w:p>
        </w:tc>
        <w:tc>
          <w:tcPr>
            <w:tcW w:w="438" w:type="pct"/>
            <w:shd w:val="clear" w:color="auto" w:fill="auto"/>
            <w:vAlign w:val="center"/>
            <w:hideMark/>
          </w:tcPr>
          <w:p w14:paraId="5F07903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Amélioration de l'accès des populations aux infrastructures d'approvisionnement en eau potable</w:t>
            </w:r>
          </w:p>
        </w:tc>
        <w:tc>
          <w:tcPr>
            <w:tcW w:w="695" w:type="pct"/>
            <w:shd w:val="clear" w:color="auto" w:fill="auto"/>
            <w:vAlign w:val="center"/>
            <w:hideMark/>
          </w:tcPr>
          <w:p w14:paraId="4033748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Taux d'accès à l'eau potable</w:t>
            </w:r>
          </w:p>
        </w:tc>
        <w:tc>
          <w:tcPr>
            <w:tcW w:w="945" w:type="pct"/>
            <w:shd w:val="clear" w:color="auto" w:fill="auto"/>
            <w:vAlign w:val="center"/>
            <w:hideMark/>
          </w:tcPr>
          <w:p w14:paraId="110A38E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Taux d'accès à l'eau potable=Effectif des ménages ayant accès à l'eau potable *100/ effectif total des ménages  </w:t>
            </w:r>
          </w:p>
        </w:tc>
        <w:tc>
          <w:tcPr>
            <w:tcW w:w="932" w:type="pct"/>
            <w:shd w:val="clear" w:color="auto" w:fill="auto"/>
            <w:vAlign w:val="center"/>
            <w:hideMark/>
          </w:tcPr>
          <w:p w14:paraId="503507C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bénéficiaires en Borne fontaine, forage, branchement particulier</w:t>
            </w:r>
          </w:p>
        </w:tc>
        <w:tc>
          <w:tcPr>
            <w:tcW w:w="825" w:type="pct"/>
            <w:shd w:val="clear" w:color="auto" w:fill="auto"/>
            <w:vAlign w:val="center"/>
            <w:hideMark/>
          </w:tcPr>
          <w:p w14:paraId="1D78105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L'accès à l'eau potable désigne la capacité des populations à disposer d'une eau de qualité, propre à la consommation humaine, en quantité suffisante et dans des conditions acceptables de distance, de coût et de fiabilité.</w:t>
            </w:r>
          </w:p>
        </w:tc>
        <w:tc>
          <w:tcPr>
            <w:tcW w:w="581" w:type="pct"/>
            <w:shd w:val="clear" w:color="auto" w:fill="auto"/>
            <w:vAlign w:val="center"/>
            <w:hideMark/>
          </w:tcPr>
          <w:p w14:paraId="2216E804"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r>
      <w:tr w:rsidR="002036B7" w:rsidRPr="000C0051" w14:paraId="4793F479" w14:textId="77777777" w:rsidTr="002036B7">
        <w:trPr>
          <w:trHeight w:val="20"/>
        </w:trPr>
        <w:tc>
          <w:tcPr>
            <w:tcW w:w="584" w:type="pct"/>
            <w:shd w:val="clear" w:color="auto" w:fill="auto"/>
            <w:vAlign w:val="center"/>
            <w:hideMark/>
          </w:tcPr>
          <w:p w14:paraId="3134963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ELECTRICITE</w:t>
            </w:r>
          </w:p>
        </w:tc>
        <w:tc>
          <w:tcPr>
            <w:tcW w:w="438" w:type="pct"/>
            <w:shd w:val="clear" w:color="auto" w:fill="auto"/>
            <w:vAlign w:val="center"/>
            <w:hideMark/>
          </w:tcPr>
          <w:p w14:paraId="4974365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Extension de l'accès des populations aux infrastructures de distribution d'électricité</w:t>
            </w:r>
          </w:p>
        </w:tc>
        <w:tc>
          <w:tcPr>
            <w:tcW w:w="695" w:type="pct"/>
            <w:shd w:val="clear" w:color="auto" w:fill="auto"/>
            <w:vAlign w:val="center"/>
            <w:hideMark/>
          </w:tcPr>
          <w:p w14:paraId="0A5495F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Taux d'accès à l'électricité</w:t>
            </w:r>
          </w:p>
        </w:tc>
        <w:tc>
          <w:tcPr>
            <w:tcW w:w="945" w:type="pct"/>
            <w:shd w:val="clear" w:color="auto" w:fill="auto"/>
            <w:vAlign w:val="center"/>
            <w:hideMark/>
          </w:tcPr>
          <w:p w14:paraId="6A093A8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Taux d'accès à l'électricité=Effectif des ménages ayant accès à l'électricité *100/ effectif total des ménages  </w:t>
            </w:r>
          </w:p>
        </w:tc>
        <w:tc>
          <w:tcPr>
            <w:tcW w:w="932" w:type="pct"/>
            <w:shd w:val="clear" w:color="auto" w:fill="auto"/>
            <w:vAlign w:val="center"/>
            <w:hideMark/>
          </w:tcPr>
          <w:p w14:paraId="7F184B0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bénéficiaires en électricité, Groupe électrogène</w:t>
            </w:r>
          </w:p>
        </w:tc>
        <w:tc>
          <w:tcPr>
            <w:tcW w:w="825" w:type="pct"/>
            <w:shd w:val="clear" w:color="auto" w:fill="auto"/>
            <w:vAlign w:val="center"/>
            <w:hideMark/>
          </w:tcPr>
          <w:p w14:paraId="6203258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L'accès à l'électricité définit la capacité pour une population d'avoir accès à une source fiable, abordable et suffisante d'énergie électrique pour répondre à ses besoins domestiques, économiques et sociaux.</w:t>
            </w:r>
          </w:p>
        </w:tc>
        <w:tc>
          <w:tcPr>
            <w:tcW w:w="581" w:type="pct"/>
            <w:shd w:val="clear" w:color="auto" w:fill="auto"/>
            <w:vAlign w:val="center"/>
            <w:hideMark/>
          </w:tcPr>
          <w:p w14:paraId="2DC3B217"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r>
      <w:tr w:rsidR="002036B7" w:rsidRPr="000C0051" w14:paraId="3EDC2485" w14:textId="77777777" w:rsidTr="002036B7">
        <w:trPr>
          <w:trHeight w:val="20"/>
        </w:trPr>
        <w:tc>
          <w:tcPr>
            <w:tcW w:w="584" w:type="pct"/>
            <w:shd w:val="clear" w:color="auto" w:fill="auto"/>
            <w:vAlign w:val="center"/>
            <w:hideMark/>
          </w:tcPr>
          <w:p w14:paraId="121690D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SECURITE FONCIERE</w:t>
            </w:r>
          </w:p>
        </w:tc>
        <w:tc>
          <w:tcPr>
            <w:tcW w:w="438" w:type="pct"/>
            <w:shd w:val="clear" w:color="auto" w:fill="auto"/>
            <w:vAlign w:val="center"/>
            <w:hideMark/>
          </w:tcPr>
          <w:p w14:paraId="06BE40A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d'un BIF ou un service foncier</w:t>
            </w:r>
          </w:p>
        </w:tc>
        <w:tc>
          <w:tcPr>
            <w:tcW w:w="695" w:type="pct"/>
            <w:shd w:val="clear" w:color="auto" w:fill="auto"/>
            <w:vAlign w:val="center"/>
            <w:hideMark/>
          </w:tcPr>
          <w:p w14:paraId="4BC2E5E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w:t>
            </w:r>
            <w:r>
              <w:rPr>
                <w:rFonts w:ascii="Georgia" w:eastAsia="Times New Roman" w:hAnsi="Georgia" w:cs="Calibri"/>
                <w:color w:val="000000"/>
                <w:sz w:val="18"/>
                <w:szCs w:val="18"/>
                <w:lang w:eastAsia="fr-FR"/>
              </w:rPr>
              <w:t>r</w:t>
            </w:r>
            <w:r w:rsidRPr="000C0051">
              <w:rPr>
                <w:rFonts w:ascii="Georgia" w:eastAsia="Times New Roman" w:hAnsi="Georgia" w:cs="Calibri"/>
                <w:color w:val="000000"/>
                <w:sz w:val="18"/>
                <w:szCs w:val="18"/>
                <w:lang w:eastAsia="fr-FR"/>
              </w:rPr>
              <w:t>centage de Communes ayant un BIF ou un Service foncier fonctionnel</w:t>
            </w:r>
          </w:p>
        </w:tc>
        <w:tc>
          <w:tcPr>
            <w:tcW w:w="945" w:type="pct"/>
            <w:shd w:val="clear" w:color="auto" w:fill="auto"/>
            <w:vAlign w:val="center"/>
            <w:hideMark/>
          </w:tcPr>
          <w:p w14:paraId="0EFB120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w:t>
            </w:r>
            <w:r>
              <w:rPr>
                <w:rFonts w:ascii="Georgia" w:eastAsia="Times New Roman" w:hAnsi="Georgia" w:cs="Calibri"/>
                <w:color w:val="000000"/>
                <w:sz w:val="18"/>
                <w:szCs w:val="18"/>
                <w:lang w:eastAsia="fr-FR"/>
              </w:rPr>
              <w:t>r</w:t>
            </w:r>
            <w:r w:rsidRPr="000C0051">
              <w:rPr>
                <w:rFonts w:ascii="Georgia" w:eastAsia="Times New Roman" w:hAnsi="Georgia" w:cs="Calibri"/>
                <w:color w:val="000000"/>
                <w:sz w:val="18"/>
                <w:szCs w:val="18"/>
                <w:lang w:eastAsia="fr-FR"/>
              </w:rPr>
              <w:t>centage de Communes ayant un BIF ou un Service foncier fonctionnel=Effectif de Communes disposant de BIF fonctionnel*100/ Effectif total des Communes disposant de BIF</w:t>
            </w:r>
          </w:p>
        </w:tc>
        <w:tc>
          <w:tcPr>
            <w:tcW w:w="932" w:type="pct"/>
            <w:shd w:val="clear" w:color="auto" w:fill="auto"/>
            <w:vAlign w:val="center"/>
            <w:hideMark/>
          </w:tcPr>
          <w:p w14:paraId="50EF967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commune disposant de BIF ou un Service foncier fonctionnel</w:t>
            </w:r>
          </w:p>
        </w:tc>
        <w:tc>
          <w:tcPr>
            <w:tcW w:w="825" w:type="pct"/>
            <w:shd w:val="clear" w:color="auto" w:fill="auto"/>
            <w:noWrap/>
            <w:vAlign w:val="center"/>
            <w:hideMark/>
          </w:tcPr>
          <w:p w14:paraId="126B6F9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3EA4444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783794C2" w14:textId="77777777" w:rsidTr="002036B7">
        <w:trPr>
          <w:trHeight w:val="20"/>
        </w:trPr>
        <w:tc>
          <w:tcPr>
            <w:tcW w:w="584" w:type="pct"/>
            <w:shd w:val="clear" w:color="auto" w:fill="auto"/>
            <w:vAlign w:val="center"/>
            <w:hideMark/>
          </w:tcPr>
          <w:p w14:paraId="1E71DC2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Environnement</w:t>
            </w:r>
          </w:p>
        </w:tc>
        <w:tc>
          <w:tcPr>
            <w:tcW w:w="438" w:type="pct"/>
            <w:shd w:val="clear" w:color="auto" w:fill="auto"/>
            <w:vAlign w:val="center"/>
            <w:hideMark/>
          </w:tcPr>
          <w:p w14:paraId="1117BC3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Niveau d'opérationnalisation des structures en gestion des risques et des catastrophes</w:t>
            </w:r>
          </w:p>
        </w:tc>
        <w:tc>
          <w:tcPr>
            <w:tcW w:w="695" w:type="pct"/>
            <w:shd w:val="clear" w:color="auto" w:fill="auto"/>
            <w:vAlign w:val="center"/>
            <w:hideMark/>
          </w:tcPr>
          <w:p w14:paraId="569BF04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Communes ayant des structures de Gestion de risques et catastrophes opérationnelles (CCGRC)</w:t>
            </w:r>
          </w:p>
        </w:tc>
        <w:tc>
          <w:tcPr>
            <w:tcW w:w="945" w:type="pct"/>
            <w:shd w:val="clear" w:color="auto" w:fill="auto"/>
            <w:vAlign w:val="center"/>
            <w:hideMark/>
          </w:tcPr>
          <w:p w14:paraId="375DC86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Pourcentage des Communes ayant des structures de Gestion de risques et catastrophes opérationnelles (CCGRC)=Effectif de Communes disposant des structures GRC opérationnelles *100/ Effectif total des Communes </w:t>
            </w:r>
          </w:p>
        </w:tc>
        <w:tc>
          <w:tcPr>
            <w:tcW w:w="932" w:type="pct"/>
            <w:shd w:val="clear" w:color="auto" w:fill="auto"/>
            <w:vAlign w:val="center"/>
            <w:hideMark/>
          </w:tcPr>
          <w:p w14:paraId="23DD235B"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 Communes disposant des structures GRC opérationnelles=OUI</w:t>
            </w:r>
          </w:p>
        </w:tc>
        <w:tc>
          <w:tcPr>
            <w:tcW w:w="825" w:type="pct"/>
            <w:shd w:val="clear" w:color="auto" w:fill="auto"/>
            <w:vAlign w:val="center"/>
            <w:hideMark/>
          </w:tcPr>
          <w:p w14:paraId="75A2260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Les structures de gestion des risques et catastrophes opérationnelles sont des organisations et des systèmes mis en place pour anticiper, prévenir, gérer et répondre efficacement aux situations d'urgence, comme les catastrophes naturelles, en minimisant les impacts sur les personnes, les biens et l 'environnement.</w:t>
            </w:r>
          </w:p>
        </w:tc>
        <w:tc>
          <w:tcPr>
            <w:tcW w:w="581" w:type="pct"/>
            <w:shd w:val="clear" w:color="auto" w:fill="auto"/>
            <w:noWrap/>
            <w:vAlign w:val="center"/>
            <w:hideMark/>
          </w:tcPr>
          <w:p w14:paraId="689A082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123F79D6" w14:textId="77777777" w:rsidTr="002036B7">
        <w:trPr>
          <w:trHeight w:val="20"/>
        </w:trPr>
        <w:tc>
          <w:tcPr>
            <w:tcW w:w="584" w:type="pct"/>
            <w:shd w:val="clear" w:color="auto" w:fill="auto"/>
            <w:vAlign w:val="center"/>
            <w:hideMark/>
          </w:tcPr>
          <w:p w14:paraId="0752D97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Environnement</w:t>
            </w:r>
          </w:p>
        </w:tc>
        <w:tc>
          <w:tcPr>
            <w:tcW w:w="438" w:type="pct"/>
            <w:shd w:val="clear" w:color="auto" w:fill="auto"/>
            <w:vAlign w:val="center"/>
            <w:hideMark/>
          </w:tcPr>
          <w:p w14:paraId="106CFE1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Etat de la réalisation de la conservation de </w:t>
            </w:r>
            <w:r w:rsidRPr="000C0051">
              <w:rPr>
                <w:rFonts w:ascii="Georgia" w:eastAsia="Times New Roman" w:hAnsi="Georgia" w:cs="Calibri"/>
                <w:color w:val="000000"/>
                <w:sz w:val="18"/>
                <w:szCs w:val="18"/>
                <w:lang w:eastAsia="fr-FR"/>
              </w:rPr>
              <w:lastRenderedPageBreak/>
              <w:t>l'environnement</w:t>
            </w:r>
          </w:p>
        </w:tc>
        <w:tc>
          <w:tcPr>
            <w:tcW w:w="695" w:type="pct"/>
            <w:shd w:val="clear" w:color="auto" w:fill="auto"/>
            <w:vAlign w:val="center"/>
            <w:hideMark/>
          </w:tcPr>
          <w:p w14:paraId="405CDF7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lastRenderedPageBreak/>
              <w:t> Pourcentage des Communes ayant des actions spécifiques pour la conservation de l'environnement</w:t>
            </w:r>
          </w:p>
        </w:tc>
        <w:tc>
          <w:tcPr>
            <w:tcW w:w="945" w:type="pct"/>
            <w:shd w:val="clear" w:color="auto" w:fill="auto"/>
            <w:vAlign w:val="center"/>
            <w:hideMark/>
          </w:tcPr>
          <w:p w14:paraId="45F4F48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 Pourcentage des Communes ayant des actions spécifiques pour la conservation de l'environnement=Effectif des Communes ayant des actions spécifiques pour la conservation </w:t>
            </w:r>
            <w:r w:rsidRPr="000C0051">
              <w:rPr>
                <w:rFonts w:ascii="Georgia" w:eastAsia="Times New Roman" w:hAnsi="Georgia" w:cs="Calibri"/>
                <w:color w:val="000000"/>
                <w:sz w:val="18"/>
                <w:szCs w:val="18"/>
                <w:lang w:eastAsia="fr-FR"/>
              </w:rPr>
              <w:lastRenderedPageBreak/>
              <w:t xml:space="preserve">de l'environnement *100/ Effectif total des Communes </w:t>
            </w:r>
          </w:p>
        </w:tc>
        <w:tc>
          <w:tcPr>
            <w:tcW w:w="932" w:type="pct"/>
            <w:shd w:val="clear" w:color="auto" w:fill="auto"/>
            <w:vAlign w:val="center"/>
            <w:hideMark/>
          </w:tcPr>
          <w:p w14:paraId="6154B56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lastRenderedPageBreak/>
              <w:t>Effectif des Communes qui réalisent des filtrations environnementales</w:t>
            </w:r>
          </w:p>
        </w:tc>
        <w:tc>
          <w:tcPr>
            <w:tcW w:w="825" w:type="pct"/>
            <w:shd w:val="clear" w:color="auto" w:fill="auto"/>
            <w:noWrap/>
            <w:vAlign w:val="center"/>
            <w:hideMark/>
          </w:tcPr>
          <w:p w14:paraId="09C027A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2BBD24F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229C9F86" w14:textId="77777777" w:rsidTr="002036B7">
        <w:trPr>
          <w:trHeight w:val="20"/>
        </w:trPr>
        <w:tc>
          <w:tcPr>
            <w:tcW w:w="584" w:type="pct"/>
            <w:shd w:val="clear" w:color="auto" w:fill="auto"/>
            <w:vAlign w:val="center"/>
            <w:hideMark/>
          </w:tcPr>
          <w:p w14:paraId="2831CE6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Tourisme </w:t>
            </w:r>
          </w:p>
        </w:tc>
        <w:tc>
          <w:tcPr>
            <w:tcW w:w="438" w:type="pct"/>
            <w:shd w:val="clear" w:color="auto" w:fill="auto"/>
            <w:noWrap/>
            <w:vAlign w:val="center"/>
            <w:hideMark/>
          </w:tcPr>
          <w:p w14:paraId="19C7053B"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Flux touristique</w:t>
            </w:r>
          </w:p>
        </w:tc>
        <w:tc>
          <w:tcPr>
            <w:tcW w:w="695" w:type="pct"/>
            <w:shd w:val="clear" w:color="auto" w:fill="auto"/>
            <w:vAlign w:val="center"/>
            <w:hideMark/>
          </w:tcPr>
          <w:p w14:paraId="03205F6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Effectif total des visiteurs </w:t>
            </w:r>
          </w:p>
        </w:tc>
        <w:tc>
          <w:tcPr>
            <w:tcW w:w="945" w:type="pct"/>
            <w:shd w:val="clear" w:color="auto" w:fill="auto"/>
            <w:vAlign w:val="center"/>
            <w:hideMark/>
          </w:tcPr>
          <w:p w14:paraId="0BF9E53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0CDC2CA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Nombre des visiteurs</w:t>
            </w:r>
          </w:p>
        </w:tc>
        <w:tc>
          <w:tcPr>
            <w:tcW w:w="825" w:type="pct"/>
            <w:shd w:val="clear" w:color="auto" w:fill="auto"/>
            <w:vAlign w:val="center"/>
            <w:hideMark/>
          </w:tcPr>
          <w:p w14:paraId="75AADFA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3753BD9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166BA0CD" w14:textId="77777777" w:rsidTr="002036B7">
        <w:trPr>
          <w:trHeight w:val="20"/>
        </w:trPr>
        <w:tc>
          <w:tcPr>
            <w:tcW w:w="584" w:type="pct"/>
            <w:shd w:val="clear" w:color="auto" w:fill="auto"/>
            <w:vAlign w:val="center"/>
            <w:hideMark/>
          </w:tcPr>
          <w:p w14:paraId="6DA0997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Industrie</w:t>
            </w:r>
          </w:p>
        </w:tc>
        <w:tc>
          <w:tcPr>
            <w:tcW w:w="438" w:type="pct"/>
            <w:shd w:val="clear" w:color="auto" w:fill="auto"/>
            <w:noWrap/>
            <w:vAlign w:val="center"/>
            <w:hideMark/>
          </w:tcPr>
          <w:p w14:paraId="452C568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Ampleur des activités économiques</w:t>
            </w:r>
          </w:p>
        </w:tc>
        <w:tc>
          <w:tcPr>
            <w:tcW w:w="695" w:type="pct"/>
            <w:shd w:val="clear" w:color="auto" w:fill="auto"/>
            <w:vAlign w:val="center"/>
            <w:hideMark/>
          </w:tcPr>
          <w:p w14:paraId="50FF587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entreprises dans la production industrielle dans une commune</w:t>
            </w:r>
          </w:p>
        </w:tc>
        <w:tc>
          <w:tcPr>
            <w:tcW w:w="945" w:type="pct"/>
            <w:shd w:val="clear" w:color="auto" w:fill="auto"/>
            <w:vAlign w:val="center"/>
            <w:hideMark/>
          </w:tcPr>
          <w:p w14:paraId="6EF1E9F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entreprises dans la production industrielle dans une commune=Effectif des entreprises dans la production industrielle dans une région *100/ Effectif total des entreprises dans cette commune</w:t>
            </w:r>
          </w:p>
        </w:tc>
        <w:tc>
          <w:tcPr>
            <w:tcW w:w="932" w:type="pct"/>
            <w:shd w:val="clear" w:color="auto" w:fill="auto"/>
            <w:vAlign w:val="center"/>
            <w:hideMark/>
          </w:tcPr>
          <w:p w14:paraId="51AA1BB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entreprises dans la production industrielle</w:t>
            </w:r>
          </w:p>
        </w:tc>
        <w:tc>
          <w:tcPr>
            <w:tcW w:w="825" w:type="pct"/>
            <w:shd w:val="clear" w:color="auto" w:fill="auto"/>
            <w:vAlign w:val="center"/>
            <w:hideMark/>
          </w:tcPr>
          <w:p w14:paraId="05F6647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Il s'agit d'une entreprise formelle ou informelle qui exerce dans la commune</w:t>
            </w:r>
          </w:p>
        </w:tc>
        <w:tc>
          <w:tcPr>
            <w:tcW w:w="581" w:type="pct"/>
            <w:shd w:val="clear" w:color="auto" w:fill="auto"/>
            <w:noWrap/>
            <w:vAlign w:val="center"/>
            <w:hideMark/>
          </w:tcPr>
          <w:p w14:paraId="587833E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5F4E05F4" w14:textId="77777777" w:rsidTr="002036B7">
        <w:trPr>
          <w:trHeight w:val="20"/>
        </w:trPr>
        <w:tc>
          <w:tcPr>
            <w:tcW w:w="584" w:type="pct"/>
            <w:shd w:val="clear" w:color="auto" w:fill="auto"/>
            <w:vAlign w:val="center"/>
            <w:hideMark/>
          </w:tcPr>
          <w:p w14:paraId="3A048C5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Commerce</w:t>
            </w:r>
          </w:p>
        </w:tc>
        <w:tc>
          <w:tcPr>
            <w:tcW w:w="438" w:type="pct"/>
            <w:shd w:val="clear" w:color="auto" w:fill="auto"/>
            <w:noWrap/>
            <w:vAlign w:val="center"/>
            <w:hideMark/>
          </w:tcPr>
          <w:p w14:paraId="5B881A4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Ampleur des activités économiques</w:t>
            </w:r>
          </w:p>
        </w:tc>
        <w:tc>
          <w:tcPr>
            <w:tcW w:w="695" w:type="pct"/>
            <w:shd w:val="clear" w:color="auto" w:fill="auto"/>
            <w:vAlign w:val="center"/>
            <w:hideMark/>
          </w:tcPr>
          <w:p w14:paraId="0F65E72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entreprises dans le commerce dans une commune</w:t>
            </w:r>
          </w:p>
        </w:tc>
        <w:tc>
          <w:tcPr>
            <w:tcW w:w="945" w:type="pct"/>
            <w:shd w:val="clear" w:color="auto" w:fill="auto"/>
            <w:vAlign w:val="center"/>
            <w:hideMark/>
          </w:tcPr>
          <w:p w14:paraId="5360605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entreprises dans le commerce dans une commune=Effectif des entreprises dans le commerce dans une commune *100/ Effectif total des entreprises dans cette commune</w:t>
            </w:r>
          </w:p>
        </w:tc>
        <w:tc>
          <w:tcPr>
            <w:tcW w:w="932" w:type="pct"/>
            <w:shd w:val="clear" w:color="auto" w:fill="auto"/>
            <w:vAlign w:val="center"/>
            <w:hideMark/>
          </w:tcPr>
          <w:p w14:paraId="335D89E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entreprises dans le commerce</w:t>
            </w:r>
          </w:p>
        </w:tc>
        <w:tc>
          <w:tcPr>
            <w:tcW w:w="825" w:type="pct"/>
            <w:shd w:val="clear" w:color="auto" w:fill="auto"/>
            <w:vAlign w:val="center"/>
            <w:hideMark/>
          </w:tcPr>
          <w:p w14:paraId="2681478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Il s'agit d'une entreprise formelle ou informelle qui exerce dans la commune</w:t>
            </w:r>
          </w:p>
        </w:tc>
        <w:tc>
          <w:tcPr>
            <w:tcW w:w="581" w:type="pct"/>
            <w:shd w:val="clear" w:color="auto" w:fill="auto"/>
            <w:noWrap/>
            <w:vAlign w:val="center"/>
            <w:hideMark/>
          </w:tcPr>
          <w:p w14:paraId="48A0E3C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5167C902" w14:textId="77777777" w:rsidTr="002036B7">
        <w:trPr>
          <w:trHeight w:val="20"/>
        </w:trPr>
        <w:tc>
          <w:tcPr>
            <w:tcW w:w="584" w:type="pct"/>
            <w:shd w:val="clear" w:color="auto" w:fill="auto"/>
            <w:vAlign w:val="center"/>
            <w:hideMark/>
          </w:tcPr>
          <w:p w14:paraId="4F474D3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Commerce</w:t>
            </w:r>
          </w:p>
        </w:tc>
        <w:tc>
          <w:tcPr>
            <w:tcW w:w="438" w:type="pct"/>
            <w:shd w:val="clear" w:color="auto" w:fill="auto"/>
            <w:noWrap/>
            <w:vAlign w:val="center"/>
            <w:hideMark/>
          </w:tcPr>
          <w:p w14:paraId="7D6AF0B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de marché</w:t>
            </w:r>
          </w:p>
        </w:tc>
        <w:tc>
          <w:tcPr>
            <w:tcW w:w="695" w:type="pct"/>
            <w:shd w:val="clear" w:color="auto" w:fill="auto"/>
            <w:vAlign w:val="center"/>
            <w:hideMark/>
          </w:tcPr>
          <w:p w14:paraId="0AA1178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Nombre de marché dans la commune</w:t>
            </w:r>
          </w:p>
        </w:tc>
        <w:tc>
          <w:tcPr>
            <w:tcW w:w="945" w:type="pct"/>
            <w:shd w:val="clear" w:color="auto" w:fill="auto"/>
            <w:vAlign w:val="center"/>
            <w:hideMark/>
          </w:tcPr>
          <w:p w14:paraId="6110BD3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5A377D4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Nombre de marché</w:t>
            </w:r>
          </w:p>
        </w:tc>
        <w:tc>
          <w:tcPr>
            <w:tcW w:w="825" w:type="pct"/>
            <w:shd w:val="clear" w:color="auto" w:fill="auto"/>
            <w:vAlign w:val="center"/>
            <w:hideMark/>
          </w:tcPr>
          <w:p w14:paraId="1DCF1E7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2DD14C4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170294B8" w14:textId="77777777" w:rsidTr="002036B7">
        <w:trPr>
          <w:trHeight w:val="20"/>
        </w:trPr>
        <w:tc>
          <w:tcPr>
            <w:tcW w:w="584" w:type="pct"/>
            <w:shd w:val="clear" w:color="auto" w:fill="auto"/>
            <w:vAlign w:val="center"/>
            <w:hideMark/>
          </w:tcPr>
          <w:p w14:paraId="159738AE"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Mines</w:t>
            </w:r>
          </w:p>
        </w:tc>
        <w:tc>
          <w:tcPr>
            <w:tcW w:w="438" w:type="pct"/>
            <w:shd w:val="clear" w:color="auto" w:fill="auto"/>
            <w:noWrap/>
            <w:vAlign w:val="center"/>
            <w:hideMark/>
          </w:tcPr>
          <w:p w14:paraId="656634B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Ampleur des activités économiques</w:t>
            </w:r>
          </w:p>
        </w:tc>
        <w:tc>
          <w:tcPr>
            <w:tcW w:w="695" w:type="pct"/>
            <w:shd w:val="clear" w:color="auto" w:fill="auto"/>
            <w:vAlign w:val="center"/>
            <w:hideMark/>
          </w:tcPr>
          <w:p w14:paraId="1D01319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entreprises dans le secteur extractif dans une commune</w:t>
            </w:r>
          </w:p>
        </w:tc>
        <w:tc>
          <w:tcPr>
            <w:tcW w:w="945" w:type="pct"/>
            <w:shd w:val="clear" w:color="auto" w:fill="auto"/>
            <w:vAlign w:val="center"/>
            <w:hideMark/>
          </w:tcPr>
          <w:p w14:paraId="51D830E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entreprises dans le secteur extractif dans une commune=Effectif des entreprises dans le secteur extractif dans une commune *100/ Effectif total des entreprises dans cette commune</w:t>
            </w:r>
          </w:p>
        </w:tc>
        <w:tc>
          <w:tcPr>
            <w:tcW w:w="932" w:type="pct"/>
            <w:shd w:val="clear" w:color="auto" w:fill="auto"/>
            <w:vAlign w:val="center"/>
            <w:hideMark/>
          </w:tcPr>
          <w:p w14:paraId="6DD970A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Effectif des entreprises dans l’exploitation minière</w:t>
            </w:r>
          </w:p>
        </w:tc>
        <w:tc>
          <w:tcPr>
            <w:tcW w:w="825" w:type="pct"/>
            <w:shd w:val="clear" w:color="auto" w:fill="auto"/>
            <w:vAlign w:val="center"/>
            <w:hideMark/>
          </w:tcPr>
          <w:p w14:paraId="49C382D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Il s'agit d'une entreprise formelle ou informelle qui exerce dans la commune</w:t>
            </w:r>
          </w:p>
        </w:tc>
        <w:tc>
          <w:tcPr>
            <w:tcW w:w="581" w:type="pct"/>
            <w:shd w:val="clear" w:color="auto" w:fill="auto"/>
            <w:noWrap/>
            <w:vAlign w:val="center"/>
            <w:hideMark/>
          </w:tcPr>
          <w:p w14:paraId="6C80748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40953B42" w14:textId="77777777" w:rsidTr="002036B7">
        <w:trPr>
          <w:trHeight w:val="20"/>
        </w:trPr>
        <w:tc>
          <w:tcPr>
            <w:tcW w:w="584" w:type="pct"/>
            <w:shd w:val="clear" w:color="auto" w:fill="auto"/>
            <w:noWrap/>
            <w:vAlign w:val="center"/>
            <w:hideMark/>
          </w:tcPr>
          <w:p w14:paraId="5910032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Agriculture</w:t>
            </w:r>
          </w:p>
        </w:tc>
        <w:tc>
          <w:tcPr>
            <w:tcW w:w="438" w:type="pct"/>
            <w:shd w:val="clear" w:color="auto" w:fill="auto"/>
            <w:vAlign w:val="center"/>
            <w:hideMark/>
          </w:tcPr>
          <w:p w14:paraId="5654C9E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Niveau de production agricole phare de la Région</w:t>
            </w:r>
          </w:p>
        </w:tc>
        <w:tc>
          <w:tcPr>
            <w:tcW w:w="695" w:type="pct"/>
            <w:shd w:val="clear" w:color="auto" w:fill="auto"/>
            <w:vAlign w:val="center"/>
            <w:hideMark/>
          </w:tcPr>
          <w:p w14:paraId="0DD17BC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 </w:t>
            </w:r>
            <w:proofErr w:type="gramStart"/>
            <w:r w:rsidRPr="000C0051">
              <w:rPr>
                <w:rFonts w:ascii="Georgia" w:eastAsia="Times New Roman" w:hAnsi="Georgia" w:cs="Calibri"/>
                <w:color w:val="000000"/>
                <w:sz w:val="18"/>
                <w:szCs w:val="18"/>
                <w:lang w:eastAsia="fr-FR"/>
              </w:rPr>
              <w:t>produits</w:t>
            </w:r>
            <w:proofErr w:type="gramEnd"/>
            <w:r w:rsidRPr="000C0051">
              <w:rPr>
                <w:rFonts w:ascii="Georgia" w:eastAsia="Times New Roman" w:hAnsi="Georgia" w:cs="Calibri"/>
                <w:color w:val="000000"/>
                <w:sz w:val="18"/>
                <w:szCs w:val="18"/>
                <w:lang w:eastAsia="fr-FR"/>
              </w:rPr>
              <w:t xml:space="preserve"> agricoles phares  </w:t>
            </w:r>
          </w:p>
        </w:tc>
        <w:tc>
          <w:tcPr>
            <w:tcW w:w="945" w:type="pct"/>
            <w:shd w:val="clear" w:color="auto" w:fill="auto"/>
            <w:vAlign w:val="center"/>
            <w:hideMark/>
          </w:tcPr>
          <w:p w14:paraId="38856BB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vAlign w:val="center"/>
            <w:hideMark/>
          </w:tcPr>
          <w:p w14:paraId="7182F63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Production d'un produit agricole phare</w:t>
            </w:r>
          </w:p>
        </w:tc>
        <w:tc>
          <w:tcPr>
            <w:tcW w:w="825" w:type="pct"/>
            <w:shd w:val="clear" w:color="auto" w:fill="auto"/>
            <w:vAlign w:val="center"/>
            <w:hideMark/>
          </w:tcPr>
          <w:p w14:paraId="482CA3E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73989B9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4797B98B" w14:textId="77777777" w:rsidTr="002036B7">
        <w:trPr>
          <w:trHeight w:val="20"/>
        </w:trPr>
        <w:tc>
          <w:tcPr>
            <w:tcW w:w="584" w:type="pct"/>
            <w:shd w:val="clear" w:color="auto" w:fill="auto"/>
            <w:noWrap/>
            <w:vAlign w:val="center"/>
            <w:hideMark/>
          </w:tcPr>
          <w:p w14:paraId="380F195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Agriculture</w:t>
            </w:r>
          </w:p>
        </w:tc>
        <w:tc>
          <w:tcPr>
            <w:tcW w:w="438" w:type="pct"/>
            <w:shd w:val="clear" w:color="auto" w:fill="auto"/>
            <w:vAlign w:val="center"/>
            <w:hideMark/>
          </w:tcPr>
          <w:p w14:paraId="364BC139"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Aménagement/ construction de barrages d’irrigation</w:t>
            </w:r>
          </w:p>
        </w:tc>
        <w:tc>
          <w:tcPr>
            <w:tcW w:w="695" w:type="pct"/>
            <w:shd w:val="clear" w:color="auto" w:fill="auto"/>
            <w:vAlign w:val="center"/>
            <w:hideMark/>
          </w:tcPr>
          <w:p w14:paraId="13407E6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Communes disposant de barrages fonctionnels</w:t>
            </w:r>
          </w:p>
        </w:tc>
        <w:tc>
          <w:tcPr>
            <w:tcW w:w="945" w:type="pct"/>
            <w:shd w:val="clear" w:color="auto" w:fill="auto"/>
            <w:vAlign w:val="center"/>
            <w:hideMark/>
          </w:tcPr>
          <w:p w14:paraId="2C3DEEF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Pourcentage des Communes disposant de barrages fonctionnels=Effectif des Communes disposant de barrages fonctionnels *100/ Effectif total des Communes </w:t>
            </w:r>
          </w:p>
        </w:tc>
        <w:tc>
          <w:tcPr>
            <w:tcW w:w="932" w:type="pct"/>
            <w:shd w:val="clear" w:color="auto" w:fill="auto"/>
            <w:noWrap/>
            <w:vAlign w:val="center"/>
            <w:hideMark/>
          </w:tcPr>
          <w:p w14:paraId="5F05406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Existence de barrage </w:t>
            </w:r>
          </w:p>
        </w:tc>
        <w:tc>
          <w:tcPr>
            <w:tcW w:w="825" w:type="pct"/>
            <w:shd w:val="clear" w:color="auto" w:fill="auto"/>
            <w:vAlign w:val="center"/>
            <w:hideMark/>
          </w:tcPr>
          <w:p w14:paraId="6783FAD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Les barrages fonctionnels sont des structures bien entretenues et opérationnelles, conçues pour retenir ou réguler les eaux de rivières, lacs ou réservoirs. Ils permettent de répondre efficacement à des besoins variés tels que l'irrigation, l'approvisionnement en eau potable, la production d'électricité ou encore la prévention des inondations. </w:t>
            </w:r>
            <w:r w:rsidRPr="000C0051">
              <w:rPr>
                <w:rFonts w:ascii="Georgia" w:eastAsia="Times New Roman" w:hAnsi="Georgia" w:cs="Calibri"/>
                <w:color w:val="000000"/>
                <w:sz w:val="18"/>
                <w:szCs w:val="18"/>
                <w:lang w:eastAsia="fr-FR"/>
              </w:rPr>
              <w:lastRenderedPageBreak/>
              <w:t>Un barrage est dit fonctionnel lorsqu'il remplit ses objectifs en toute sécurité, sans défauts, tout en ayant un impact maîtrisé sur l'environnement.</w:t>
            </w:r>
          </w:p>
        </w:tc>
        <w:tc>
          <w:tcPr>
            <w:tcW w:w="581" w:type="pct"/>
            <w:shd w:val="clear" w:color="auto" w:fill="auto"/>
            <w:noWrap/>
            <w:vAlign w:val="center"/>
            <w:hideMark/>
          </w:tcPr>
          <w:p w14:paraId="4D3A107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lastRenderedPageBreak/>
              <w:t> </w:t>
            </w:r>
          </w:p>
        </w:tc>
      </w:tr>
      <w:tr w:rsidR="002036B7" w:rsidRPr="000C0051" w14:paraId="352D4C3C" w14:textId="77777777" w:rsidTr="002036B7">
        <w:trPr>
          <w:trHeight w:val="20"/>
        </w:trPr>
        <w:tc>
          <w:tcPr>
            <w:tcW w:w="584" w:type="pct"/>
            <w:shd w:val="clear" w:color="auto" w:fill="auto"/>
            <w:noWrap/>
            <w:vAlign w:val="center"/>
            <w:hideMark/>
          </w:tcPr>
          <w:p w14:paraId="22B5E86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Agriculture</w:t>
            </w:r>
          </w:p>
        </w:tc>
        <w:tc>
          <w:tcPr>
            <w:tcW w:w="438" w:type="pct"/>
            <w:shd w:val="clear" w:color="auto" w:fill="auto"/>
            <w:vAlign w:val="center"/>
            <w:hideMark/>
          </w:tcPr>
          <w:p w14:paraId="37A2A31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Quantité de production rizicole</w:t>
            </w:r>
          </w:p>
        </w:tc>
        <w:tc>
          <w:tcPr>
            <w:tcW w:w="695" w:type="pct"/>
            <w:shd w:val="clear" w:color="auto" w:fill="auto"/>
            <w:vAlign w:val="center"/>
            <w:hideMark/>
          </w:tcPr>
          <w:p w14:paraId="7558A9F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Production moyenne de riz par hectare                            </w:t>
            </w:r>
          </w:p>
        </w:tc>
        <w:tc>
          <w:tcPr>
            <w:tcW w:w="945" w:type="pct"/>
            <w:shd w:val="clear" w:color="auto" w:fill="auto"/>
            <w:vAlign w:val="center"/>
            <w:hideMark/>
          </w:tcPr>
          <w:p w14:paraId="657D2A1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noWrap/>
            <w:vAlign w:val="center"/>
            <w:hideMark/>
          </w:tcPr>
          <w:p w14:paraId="0DC3B70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Production rizicole</w:t>
            </w:r>
          </w:p>
        </w:tc>
        <w:tc>
          <w:tcPr>
            <w:tcW w:w="825" w:type="pct"/>
            <w:shd w:val="clear" w:color="auto" w:fill="auto"/>
            <w:vAlign w:val="center"/>
            <w:hideMark/>
          </w:tcPr>
          <w:p w14:paraId="2850594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2D7D262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3F9BAF62" w14:textId="77777777" w:rsidTr="002036B7">
        <w:trPr>
          <w:trHeight w:val="20"/>
        </w:trPr>
        <w:tc>
          <w:tcPr>
            <w:tcW w:w="584" w:type="pct"/>
            <w:shd w:val="clear" w:color="auto" w:fill="auto"/>
            <w:noWrap/>
            <w:vAlign w:val="center"/>
            <w:hideMark/>
          </w:tcPr>
          <w:p w14:paraId="25D257C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Pêche</w:t>
            </w:r>
          </w:p>
        </w:tc>
        <w:tc>
          <w:tcPr>
            <w:tcW w:w="438" w:type="pct"/>
            <w:shd w:val="clear" w:color="auto" w:fill="auto"/>
            <w:vAlign w:val="center"/>
            <w:hideMark/>
          </w:tcPr>
          <w:p w14:paraId="117DB600"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Quantité de production halieutique</w:t>
            </w:r>
          </w:p>
        </w:tc>
        <w:tc>
          <w:tcPr>
            <w:tcW w:w="695" w:type="pct"/>
            <w:shd w:val="clear" w:color="000000" w:fill="FFFFFF"/>
            <w:vAlign w:val="center"/>
            <w:hideMark/>
          </w:tcPr>
          <w:p w14:paraId="1EBBCF88"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Production moyenne des produits de pêche</w:t>
            </w:r>
          </w:p>
        </w:tc>
        <w:tc>
          <w:tcPr>
            <w:tcW w:w="945" w:type="pct"/>
            <w:shd w:val="clear" w:color="auto" w:fill="auto"/>
            <w:vAlign w:val="center"/>
            <w:hideMark/>
          </w:tcPr>
          <w:p w14:paraId="26154A5B"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noWrap/>
            <w:vAlign w:val="center"/>
            <w:hideMark/>
          </w:tcPr>
          <w:p w14:paraId="19D2568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Production des produits halieutiques</w:t>
            </w:r>
          </w:p>
        </w:tc>
        <w:tc>
          <w:tcPr>
            <w:tcW w:w="825" w:type="pct"/>
            <w:shd w:val="clear" w:color="auto" w:fill="auto"/>
            <w:vAlign w:val="center"/>
            <w:hideMark/>
          </w:tcPr>
          <w:p w14:paraId="354D7DB6"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78DC89B4"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379C806E" w14:textId="77777777" w:rsidTr="002036B7">
        <w:trPr>
          <w:trHeight w:val="20"/>
        </w:trPr>
        <w:tc>
          <w:tcPr>
            <w:tcW w:w="584" w:type="pct"/>
            <w:shd w:val="clear" w:color="auto" w:fill="auto"/>
            <w:vAlign w:val="center"/>
            <w:hideMark/>
          </w:tcPr>
          <w:p w14:paraId="52A4192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Elevage</w:t>
            </w:r>
          </w:p>
        </w:tc>
        <w:tc>
          <w:tcPr>
            <w:tcW w:w="438" w:type="pct"/>
            <w:shd w:val="clear" w:color="auto" w:fill="auto"/>
            <w:vAlign w:val="center"/>
            <w:hideMark/>
          </w:tcPr>
          <w:p w14:paraId="7C657269"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Quantité de cheptels</w:t>
            </w:r>
          </w:p>
        </w:tc>
        <w:tc>
          <w:tcPr>
            <w:tcW w:w="695" w:type="pct"/>
            <w:shd w:val="clear" w:color="auto" w:fill="auto"/>
            <w:vAlign w:val="center"/>
            <w:hideMark/>
          </w:tcPr>
          <w:p w14:paraId="5AE31B6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Nombre de cheptels bovins, ovins, caprins ; </w:t>
            </w:r>
          </w:p>
        </w:tc>
        <w:tc>
          <w:tcPr>
            <w:tcW w:w="945" w:type="pct"/>
            <w:shd w:val="clear" w:color="auto" w:fill="auto"/>
            <w:vAlign w:val="center"/>
            <w:hideMark/>
          </w:tcPr>
          <w:p w14:paraId="559F48F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932" w:type="pct"/>
            <w:shd w:val="clear" w:color="auto" w:fill="auto"/>
            <w:noWrap/>
            <w:vAlign w:val="bottom"/>
            <w:hideMark/>
          </w:tcPr>
          <w:p w14:paraId="5ABED996" w14:textId="77777777" w:rsidR="002036B7" w:rsidRPr="000C0051" w:rsidRDefault="002036B7" w:rsidP="00BC1204">
            <w:pPr>
              <w:suppressAutoHyphens w:val="0"/>
              <w:autoSpaceDN/>
              <w:spacing w:after="0" w:line="240" w:lineRule="auto"/>
              <w:rPr>
                <w:rFonts w:eastAsia="Times New Roman" w:cs="Calibri"/>
                <w:color w:val="000000"/>
                <w:sz w:val="18"/>
                <w:szCs w:val="18"/>
                <w:lang w:eastAsia="fr-FR"/>
              </w:rPr>
            </w:pPr>
            <w:r w:rsidRPr="000C0051">
              <w:rPr>
                <w:rFonts w:eastAsia="Times New Roman" w:cs="Calibri"/>
                <w:color w:val="000000"/>
                <w:sz w:val="18"/>
                <w:szCs w:val="18"/>
                <w:lang w:eastAsia="fr-FR"/>
              </w:rPr>
              <w:t> </w:t>
            </w:r>
          </w:p>
        </w:tc>
        <w:tc>
          <w:tcPr>
            <w:tcW w:w="825" w:type="pct"/>
            <w:shd w:val="clear" w:color="auto" w:fill="auto"/>
            <w:noWrap/>
            <w:vAlign w:val="center"/>
            <w:hideMark/>
          </w:tcPr>
          <w:p w14:paraId="66AE2FA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4365E8B0"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6E3B113D" w14:textId="77777777" w:rsidTr="002036B7">
        <w:trPr>
          <w:trHeight w:val="20"/>
        </w:trPr>
        <w:tc>
          <w:tcPr>
            <w:tcW w:w="584" w:type="pct"/>
            <w:shd w:val="clear" w:color="auto" w:fill="auto"/>
            <w:vAlign w:val="center"/>
            <w:hideMark/>
          </w:tcPr>
          <w:p w14:paraId="09F7C34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Elevage</w:t>
            </w:r>
          </w:p>
        </w:tc>
        <w:tc>
          <w:tcPr>
            <w:tcW w:w="438" w:type="pct"/>
            <w:shd w:val="clear" w:color="auto" w:fill="auto"/>
            <w:vAlign w:val="center"/>
            <w:hideMark/>
          </w:tcPr>
          <w:p w14:paraId="010BEB1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des abattoirs, Accès aux services de suivi et de santé animal</w:t>
            </w:r>
          </w:p>
        </w:tc>
        <w:tc>
          <w:tcPr>
            <w:tcW w:w="695" w:type="pct"/>
            <w:shd w:val="clear" w:color="auto" w:fill="auto"/>
            <w:vAlign w:val="center"/>
            <w:hideMark/>
          </w:tcPr>
          <w:p w14:paraId="414698D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Pourcentages de Communes disposant des abattoirs avec de services de suivi des animaux (vétérinaire)</w:t>
            </w:r>
          </w:p>
        </w:tc>
        <w:tc>
          <w:tcPr>
            <w:tcW w:w="945" w:type="pct"/>
            <w:shd w:val="clear" w:color="auto" w:fill="auto"/>
            <w:vAlign w:val="center"/>
            <w:hideMark/>
          </w:tcPr>
          <w:p w14:paraId="4C622E85"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Pourcentages de Communes disposant des abattoirs avec de services de suivi des animaux (vétérinaire)=Effectif de Communes disposant des abattoirs avec de services de suivi des animaux *100/ Effectif total de Communes</w:t>
            </w:r>
          </w:p>
        </w:tc>
        <w:tc>
          <w:tcPr>
            <w:tcW w:w="932" w:type="pct"/>
            <w:shd w:val="clear" w:color="auto" w:fill="auto"/>
            <w:vAlign w:val="center"/>
            <w:hideMark/>
          </w:tcPr>
          <w:p w14:paraId="6D9F956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Existence des abattoirs avec de services de suivi des animaux       </w:t>
            </w:r>
          </w:p>
        </w:tc>
        <w:tc>
          <w:tcPr>
            <w:tcW w:w="825" w:type="pct"/>
            <w:shd w:val="clear" w:color="auto" w:fill="auto"/>
            <w:noWrap/>
            <w:vAlign w:val="center"/>
            <w:hideMark/>
          </w:tcPr>
          <w:p w14:paraId="1E32AE1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194E5C6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159B828D" w14:textId="77777777" w:rsidTr="002036B7">
        <w:trPr>
          <w:trHeight w:val="20"/>
        </w:trPr>
        <w:tc>
          <w:tcPr>
            <w:tcW w:w="584" w:type="pct"/>
            <w:shd w:val="clear" w:color="auto" w:fill="auto"/>
            <w:vAlign w:val="center"/>
            <w:hideMark/>
          </w:tcPr>
          <w:p w14:paraId="6B1131BE"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Accessibil</w:t>
            </w:r>
            <w:r>
              <w:rPr>
                <w:rFonts w:ascii="Georgia" w:eastAsia="Times New Roman" w:hAnsi="Georgia" w:cs="Calibri"/>
                <w:color w:val="000000"/>
                <w:sz w:val="18"/>
                <w:szCs w:val="18"/>
                <w:lang w:eastAsia="fr-FR"/>
              </w:rPr>
              <w:t>it</w:t>
            </w:r>
            <w:r w:rsidRPr="000C0051">
              <w:rPr>
                <w:rFonts w:ascii="Georgia" w:eastAsia="Times New Roman" w:hAnsi="Georgia" w:cs="Calibri"/>
                <w:color w:val="000000"/>
                <w:sz w:val="18"/>
                <w:szCs w:val="18"/>
                <w:lang w:eastAsia="fr-FR"/>
              </w:rPr>
              <w:t xml:space="preserve">é </w:t>
            </w:r>
          </w:p>
        </w:tc>
        <w:tc>
          <w:tcPr>
            <w:tcW w:w="438" w:type="pct"/>
            <w:shd w:val="clear" w:color="auto" w:fill="auto"/>
            <w:vAlign w:val="center"/>
            <w:hideMark/>
          </w:tcPr>
          <w:p w14:paraId="0DAE251C"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Accessibil</w:t>
            </w:r>
            <w:r>
              <w:rPr>
                <w:rFonts w:ascii="Georgia" w:eastAsia="Times New Roman" w:hAnsi="Georgia" w:cs="Calibri"/>
                <w:color w:val="000000"/>
                <w:sz w:val="18"/>
                <w:szCs w:val="18"/>
                <w:lang w:eastAsia="fr-FR"/>
              </w:rPr>
              <w:t>it</w:t>
            </w:r>
            <w:r w:rsidRPr="000C0051">
              <w:rPr>
                <w:rFonts w:ascii="Georgia" w:eastAsia="Times New Roman" w:hAnsi="Georgia" w:cs="Calibri"/>
                <w:color w:val="000000"/>
                <w:sz w:val="18"/>
                <w:szCs w:val="18"/>
                <w:lang w:eastAsia="fr-FR"/>
              </w:rPr>
              <w:t>é des communes</w:t>
            </w:r>
          </w:p>
        </w:tc>
        <w:tc>
          <w:tcPr>
            <w:tcW w:w="695" w:type="pct"/>
            <w:shd w:val="clear" w:color="000000" w:fill="FFFFFF"/>
            <w:vAlign w:val="center"/>
            <w:hideMark/>
          </w:tcPr>
          <w:p w14:paraId="6CD269FA"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Pourcentage des communes accessibles par moyen de transport pendant toute l'année </w:t>
            </w:r>
          </w:p>
        </w:tc>
        <w:tc>
          <w:tcPr>
            <w:tcW w:w="945" w:type="pct"/>
            <w:shd w:val="clear" w:color="auto" w:fill="auto"/>
            <w:vAlign w:val="center"/>
            <w:hideMark/>
          </w:tcPr>
          <w:p w14:paraId="5F388E9C"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Pourcentage des communes accessibles par moyen de transport pendant toute l'année =Effectif des communes accessibles par moyen de transport pendant toute l'année*100/ Effectif total des commune </w:t>
            </w:r>
          </w:p>
        </w:tc>
        <w:tc>
          <w:tcPr>
            <w:tcW w:w="932" w:type="pct"/>
            <w:shd w:val="clear" w:color="auto" w:fill="auto"/>
            <w:vAlign w:val="center"/>
            <w:hideMark/>
          </w:tcPr>
          <w:p w14:paraId="17C3DB01"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Accessibilité des routes=OUI</w:t>
            </w:r>
          </w:p>
        </w:tc>
        <w:tc>
          <w:tcPr>
            <w:tcW w:w="825" w:type="pct"/>
            <w:shd w:val="clear" w:color="auto" w:fill="auto"/>
            <w:vAlign w:val="center"/>
            <w:hideMark/>
          </w:tcPr>
          <w:p w14:paraId="4FB57128"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Une route praticable est une voie de circulation en bon état, permettant aux véhicules de circuler facilement et en toute sécurité. Elle doit être suffisamment entretenue pour éviter les obstacles majeurs, comme les nids-de-poule, les inondations ou les effondrements, et rester accessible en toutes saisons, y compris pendant les périodes de pluie. Une route praticable contribue ainsi au développement économique et social d’une commune. </w:t>
            </w:r>
          </w:p>
        </w:tc>
        <w:tc>
          <w:tcPr>
            <w:tcW w:w="581" w:type="pct"/>
            <w:shd w:val="clear" w:color="auto" w:fill="auto"/>
            <w:noWrap/>
            <w:vAlign w:val="center"/>
            <w:hideMark/>
          </w:tcPr>
          <w:p w14:paraId="7EC2E36B" w14:textId="77777777" w:rsidR="002036B7" w:rsidRPr="000C0051" w:rsidRDefault="002036B7" w:rsidP="00BC1204">
            <w:pPr>
              <w:suppressAutoHyphens w:val="0"/>
              <w:autoSpaceDN/>
              <w:spacing w:after="0" w:line="240" w:lineRule="auto"/>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307AF7B4" w14:textId="77777777" w:rsidTr="002036B7">
        <w:trPr>
          <w:trHeight w:val="20"/>
        </w:trPr>
        <w:tc>
          <w:tcPr>
            <w:tcW w:w="584" w:type="pct"/>
            <w:shd w:val="clear" w:color="auto" w:fill="auto"/>
            <w:vAlign w:val="center"/>
            <w:hideMark/>
          </w:tcPr>
          <w:p w14:paraId="09EC064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Gouvernance locale</w:t>
            </w:r>
          </w:p>
        </w:tc>
        <w:tc>
          <w:tcPr>
            <w:tcW w:w="438" w:type="pct"/>
            <w:shd w:val="clear" w:color="auto" w:fill="auto"/>
            <w:vAlign w:val="center"/>
            <w:hideMark/>
          </w:tcPr>
          <w:p w14:paraId="3EBAC92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d'une SLC opérationnelle</w:t>
            </w:r>
          </w:p>
        </w:tc>
        <w:tc>
          <w:tcPr>
            <w:tcW w:w="695" w:type="pct"/>
            <w:shd w:val="clear" w:color="auto" w:fill="auto"/>
            <w:vAlign w:val="center"/>
            <w:hideMark/>
          </w:tcPr>
          <w:p w14:paraId="1EC4EAAA"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w:t>
            </w:r>
            <w:r>
              <w:rPr>
                <w:rFonts w:ascii="Georgia" w:eastAsia="Times New Roman" w:hAnsi="Georgia" w:cs="Calibri"/>
                <w:color w:val="000000"/>
                <w:sz w:val="18"/>
                <w:szCs w:val="18"/>
                <w:lang w:eastAsia="fr-FR"/>
              </w:rPr>
              <w:t>r</w:t>
            </w:r>
            <w:r w:rsidRPr="000C0051">
              <w:rPr>
                <w:rFonts w:ascii="Georgia" w:eastAsia="Times New Roman" w:hAnsi="Georgia" w:cs="Calibri"/>
                <w:color w:val="000000"/>
                <w:sz w:val="18"/>
                <w:szCs w:val="18"/>
                <w:lang w:eastAsia="fr-FR"/>
              </w:rPr>
              <w:t>centage des communes disposant une SLC opérationnelle</w:t>
            </w:r>
          </w:p>
        </w:tc>
        <w:tc>
          <w:tcPr>
            <w:tcW w:w="945" w:type="pct"/>
            <w:shd w:val="clear" w:color="auto" w:fill="auto"/>
            <w:vAlign w:val="center"/>
            <w:hideMark/>
          </w:tcPr>
          <w:p w14:paraId="036B466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w:t>
            </w:r>
            <w:r>
              <w:rPr>
                <w:rFonts w:ascii="Georgia" w:eastAsia="Times New Roman" w:hAnsi="Georgia" w:cs="Calibri"/>
                <w:color w:val="000000"/>
                <w:sz w:val="18"/>
                <w:szCs w:val="18"/>
                <w:lang w:eastAsia="fr-FR"/>
              </w:rPr>
              <w:t>r</w:t>
            </w:r>
            <w:r w:rsidRPr="000C0051">
              <w:rPr>
                <w:rFonts w:ascii="Georgia" w:eastAsia="Times New Roman" w:hAnsi="Georgia" w:cs="Calibri"/>
                <w:color w:val="000000"/>
                <w:sz w:val="18"/>
                <w:szCs w:val="18"/>
                <w:lang w:eastAsia="fr-FR"/>
              </w:rPr>
              <w:t xml:space="preserve">centage des communes disposant une SLC opérationnelle=Effectif des Communes disposant une SLC fonctionnelle *100/Effectif total </w:t>
            </w:r>
            <w:r w:rsidRPr="000C0051">
              <w:rPr>
                <w:rFonts w:ascii="Georgia" w:eastAsia="Times New Roman" w:hAnsi="Georgia" w:cs="Calibri"/>
                <w:color w:val="000000"/>
                <w:sz w:val="18"/>
                <w:szCs w:val="18"/>
                <w:lang w:eastAsia="fr-FR"/>
              </w:rPr>
              <w:lastRenderedPageBreak/>
              <w:t>des Communes disposant une SLC</w:t>
            </w:r>
          </w:p>
        </w:tc>
        <w:tc>
          <w:tcPr>
            <w:tcW w:w="932" w:type="pct"/>
            <w:shd w:val="clear" w:color="auto" w:fill="auto"/>
            <w:vAlign w:val="center"/>
            <w:hideMark/>
          </w:tcPr>
          <w:p w14:paraId="45781A8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lastRenderedPageBreak/>
              <w:t xml:space="preserve">Existence de SLC opérationnelle </w:t>
            </w:r>
          </w:p>
        </w:tc>
        <w:tc>
          <w:tcPr>
            <w:tcW w:w="825" w:type="pct"/>
            <w:shd w:val="clear" w:color="auto" w:fill="auto"/>
            <w:vAlign w:val="center"/>
            <w:hideMark/>
          </w:tcPr>
          <w:p w14:paraId="2B9DBF3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Une SLC est considérée comme opérationnelle lorsqu'elle élabore un Plan d'action détaillé, met en œuvre les activités définies dans ce plan et soumet des </w:t>
            </w:r>
            <w:r w:rsidRPr="000C0051">
              <w:rPr>
                <w:rFonts w:ascii="Georgia" w:eastAsia="Times New Roman" w:hAnsi="Georgia" w:cs="Calibri"/>
                <w:color w:val="000000"/>
                <w:sz w:val="18"/>
                <w:szCs w:val="18"/>
                <w:lang w:eastAsia="fr-FR"/>
              </w:rPr>
              <w:lastRenderedPageBreak/>
              <w:t xml:space="preserve">propositions d'actions à l'organe exécutif de la Commune </w:t>
            </w:r>
          </w:p>
        </w:tc>
        <w:tc>
          <w:tcPr>
            <w:tcW w:w="581" w:type="pct"/>
            <w:shd w:val="clear" w:color="auto" w:fill="auto"/>
            <w:vAlign w:val="center"/>
            <w:hideMark/>
          </w:tcPr>
          <w:p w14:paraId="5DBCD66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lastRenderedPageBreak/>
              <w:t> </w:t>
            </w:r>
          </w:p>
        </w:tc>
      </w:tr>
      <w:tr w:rsidR="002036B7" w:rsidRPr="000C0051" w14:paraId="0C08F960" w14:textId="77777777" w:rsidTr="002036B7">
        <w:trPr>
          <w:trHeight w:val="20"/>
        </w:trPr>
        <w:tc>
          <w:tcPr>
            <w:tcW w:w="584" w:type="pct"/>
            <w:shd w:val="clear" w:color="auto" w:fill="auto"/>
            <w:vAlign w:val="center"/>
            <w:hideMark/>
          </w:tcPr>
          <w:p w14:paraId="787D81A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Gouvernance locale</w:t>
            </w:r>
          </w:p>
        </w:tc>
        <w:tc>
          <w:tcPr>
            <w:tcW w:w="438" w:type="pct"/>
            <w:shd w:val="clear" w:color="auto" w:fill="auto"/>
            <w:vAlign w:val="center"/>
            <w:hideMark/>
          </w:tcPr>
          <w:p w14:paraId="01E354D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Existence d'outils de planification </w:t>
            </w:r>
          </w:p>
        </w:tc>
        <w:tc>
          <w:tcPr>
            <w:tcW w:w="695" w:type="pct"/>
            <w:shd w:val="clear" w:color="auto" w:fill="auto"/>
            <w:vAlign w:val="center"/>
            <w:hideMark/>
          </w:tcPr>
          <w:p w14:paraId="093A4AB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Proportion des communes disposant des SAC validés et mis en œuvre </w:t>
            </w:r>
          </w:p>
        </w:tc>
        <w:tc>
          <w:tcPr>
            <w:tcW w:w="945" w:type="pct"/>
            <w:shd w:val="clear" w:color="auto" w:fill="auto"/>
            <w:vAlign w:val="center"/>
            <w:hideMark/>
          </w:tcPr>
          <w:p w14:paraId="1C51386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Proportion des communes disposant des SAC validés et mis en œuvre =Effectif de Communes disposant de SAC validés et mis en œuvre *100/ Effectif total des Communes </w:t>
            </w:r>
          </w:p>
        </w:tc>
        <w:tc>
          <w:tcPr>
            <w:tcW w:w="932" w:type="pct"/>
            <w:shd w:val="clear" w:color="auto" w:fill="auto"/>
            <w:vAlign w:val="center"/>
            <w:hideMark/>
          </w:tcPr>
          <w:p w14:paraId="72EEBEA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d'outils de planification (SAC/</w:t>
            </w:r>
            <w:proofErr w:type="spellStart"/>
            <w:r w:rsidRPr="000C0051">
              <w:rPr>
                <w:rFonts w:ascii="Georgia" w:eastAsia="Times New Roman" w:hAnsi="Georgia" w:cs="Calibri"/>
                <w:color w:val="000000"/>
                <w:sz w:val="18"/>
                <w:szCs w:val="18"/>
                <w:lang w:eastAsia="fr-FR"/>
              </w:rPr>
              <w:t>PUDi</w:t>
            </w:r>
            <w:proofErr w:type="spellEnd"/>
            <w:r w:rsidRPr="000C0051">
              <w:rPr>
                <w:rFonts w:ascii="Georgia" w:eastAsia="Times New Roman" w:hAnsi="Georgia" w:cs="Calibri"/>
                <w:color w:val="000000"/>
                <w:sz w:val="18"/>
                <w:szCs w:val="18"/>
                <w:lang w:eastAsia="fr-FR"/>
              </w:rPr>
              <w:t>/</w:t>
            </w:r>
            <w:proofErr w:type="spellStart"/>
            <w:r w:rsidRPr="000C0051">
              <w:rPr>
                <w:rFonts w:ascii="Georgia" w:eastAsia="Times New Roman" w:hAnsi="Georgia" w:cs="Calibri"/>
                <w:color w:val="000000"/>
                <w:sz w:val="18"/>
                <w:szCs w:val="18"/>
                <w:lang w:eastAsia="fr-FR"/>
              </w:rPr>
              <w:t>PUDé</w:t>
            </w:r>
            <w:proofErr w:type="spellEnd"/>
            <w:r w:rsidRPr="000C0051">
              <w:rPr>
                <w:rFonts w:ascii="Georgia" w:eastAsia="Times New Roman" w:hAnsi="Georgia" w:cs="Calibri"/>
                <w:color w:val="000000"/>
                <w:sz w:val="18"/>
                <w:szCs w:val="18"/>
                <w:lang w:eastAsia="fr-FR"/>
              </w:rPr>
              <w:t xml:space="preserve">/SAIC) validés et mis en œuvre </w:t>
            </w:r>
          </w:p>
        </w:tc>
        <w:tc>
          <w:tcPr>
            <w:tcW w:w="825" w:type="pct"/>
            <w:shd w:val="clear" w:color="auto" w:fill="auto"/>
            <w:vAlign w:val="center"/>
            <w:hideMark/>
          </w:tcPr>
          <w:p w14:paraId="4C14CA1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Le SAC est un outil de planification stratégique local et cadre de référence pour la coordination locale et régionale des ressources.  Délai de validité : 10 à 15 ans</w:t>
            </w:r>
          </w:p>
        </w:tc>
        <w:tc>
          <w:tcPr>
            <w:tcW w:w="581" w:type="pct"/>
            <w:shd w:val="clear" w:color="auto" w:fill="auto"/>
            <w:vAlign w:val="center"/>
            <w:hideMark/>
          </w:tcPr>
          <w:p w14:paraId="5498FC0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6882B090" w14:textId="77777777" w:rsidTr="002036B7">
        <w:trPr>
          <w:trHeight w:val="20"/>
        </w:trPr>
        <w:tc>
          <w:tcPr>
            <w:tcW w:w="584" w:type="pct"/>
            <w:shd w:val="clear" w:color="auto" w:fill="auto"/>
            <w:vAlign w:val="center"/>
            <w:hideMark/>
          </w:tcPr>
          <w:p w14:paraId="4F539C22"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Gouvernance locale</w:t>
            </w:r>
          </w:p>
        </w:tc>
        <w:tc>
          <w:tcPr>
            <w:tcW w:w="438" w:type="pct"/>
            <w:shd w:val="clear" w:color="auto" w:fill="auto"/>
            <w:vAlign w:val="center"/>
            <w:hideMark/>
          </w:tcPr>
          <w:p w14:paraId="5599B06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Effectivité de PDLII au niveau de chaque Commune</w:t>
            </w:r>
          </w:p>
        </w:tc>
        <w:tc>
          <w:tcPr>
            <w:tcW w:w="695" w:type="pct"/>
            <w:shd w:val="clear" w:color="auto" w:fill="auto"/>
            <w:vAlign w:val="center"/>
            <w:hideMark/>
          </w:tcPr>
          <w:p w14:paraId="0411100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Pourcentage de Communes disposant de PDLII à jour </w:t>
            </w:r>
          </w:p>
        </w:tc>
        <w:tc>
          <w:tcPr>
            <w:tcW w:w="945" w:type="pct"/>
            <w:shd w:val="clear" w:color="auto" w:fill="auto"/>
            <w:vAlign w:val="center"/>
            <w:hideMark/>
          </w:tcPr>
          <w:p w14:paraId="1DA171C8"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 Communes disposant de PDLII à jour =Effectif de Communes disposant de PDLII à jour *100/ Effectif total des Communes disposant de PDLII</w:t>
            </w:r>
          </w:p>
        </w:tc>
        <w:tc>
          <w:tcPr>
            <w:tcW w:w="932" w:type="pct"/>
            <w:shd w:val="clear" w:color="auto" w:fill="auto"/>
            <w:vAlign w:val="center"/>
            <w:hideMark/>
          </w:tcPr>
          <w:p w14:paraId="5596BBD4"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PDLII à jour</w:t>
            </w:r>
          </w:p>
        </w:tc>
        <w:tc>
          <w:tcPr>
            <w:tcW w:w="825" w:type="pct"/>
            <w:shd w:val="clear" w:color="auto" w:fill="auto"/>
            <w:vAlign w:val="center"/>
            <w:hideMark/>
          </w:tcPr>
          <w:p w14:paraId="12B09A5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c>
          <w:tcPr>
            <w:tcW w:w="581" w:type="pct"/>
            <w:shd w:val="clear" w:color="auto" w:fill="auto"/>
            <w:noWrap/>
            <w:vAlign w:val="center"/>
            <w:hideMark/>
          </w:tcPr>
          <w:p w14:paraId="1C1EE6A3"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w:t>
            </w:r>
          </w:p>
        </w:tc>
      </w:tr>
      <w:tr w:rsidR="002036B7" w:rsidRPr="000C0051" w14:paraId="6B359BA6" w14:textId="77777777" w:rsidTr="002036B7">
        <w:trPr>
          <w:trHeight w:val="20"/>
        </w:trPr>
        <w:tc>
          <w:tcPr>
            <w:tcW w:w="584" w:type="pct"/>
            <w:shd w:val="clear" w:color="auto" w:fill="auto"/>
            <w:vAlign w:val="center"/>
            <w:hideMark/>
          </w:tcPr>
          <w:p w14:paraId="78BC6AB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Gouvernance locale</w:t>
            </w:r>
          </w:p>
        </w:tc>
        <w:tc>
          <w:tcPr>
            <w:tcW w:w="438" w:type="pct"/>
            <w:shd w:val="clear" w:color="auto" w:fill="auto"/>
            <w:vAlign w:val="center"/>
            <w:hideMark/>
          </w:tcPr>
          <w:p w14:paraId="6F57BA1C"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Existence des mécanismes de transmission et de contrôle de légalité des actes administratifs par les Communes</w:t>
            </w:r>
          </w:p>
        </w:tc>
        <w:tc>
          <w:tcPr>
            <w:tcW w:w="695" w:type="pct"/>
            <w:shd w:val="clear" w:color="auto" w:fill="auto"/>
            <w:vAlign w:val="center"/>
            <w:hideMark/>
          </w:tcPr>
          <w:p w14:paraId="138BC247"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Pourcentage des Communes ayant envoyé au moins 5 actes administratifs pour contrôle de légalité </w:t>
            </w:r>
          </w:p>
        </w:tc>
        <w:tc>
          <w:tcPr>
            <w:tcW w:w="945" w:type="pct"/>
            <w:shd w:val="clear" w:color="auto" w:fill="auto"/>
            <w:vAlign w:val="center"/>
            <w:hideMark/>
          </w:tcPr>
          <w:p w14:paraId="73A8EC3D"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Pourcentage des Communes ayant envoyé au moins 5 actes administratifs pour contrôle de légalité =Effectif des communes ayant envoyé au moins 5 actes administratifs pour contrôle de légalité *100/ effectif total des communes</w:t>
            </w:r>
          </w:p>
        </w:tc>
        <w:tc>
          <w:tcPr>
            <w:tcW w:w="932" w:type="pct"/>
            <w:shd w:val="clear" w:color="auto" w:fill="auto"/>
            <w:vAlign w:val="center"/>
            <w:hideMark/>
          </w:tcPr>
          <w:p w14:paraId="327BE72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Effectivité de soumission des actes administratifs pour contrôle de légalité</w:t>
            </w:r>
          </w:p>
        </w:tc>
        <w:tc>
          <w:tcPr>
            <w:tcW w:w="825" w:type="pct"/>
            <w:shd w:val="clear" w:color="auto" w:fill="auto"/>
            <w:vAlign w:val="center"/>
            <w:hideMark/>
          </w:tcPr>
          <w:p w14:paraId="5660B5D6"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 xml:space="preserve">Un acte administratif pour contrôle de légalité est une décision écrite prise par une autorité locale (commune), dans le cadre de ses compétences, qui doit être obligatoirement transmise à l'autorité de l'Etat pour vérifier sa conformité aux lois et règlements en vigueur </w:t>
            </w:r>
          </w:p>
        </w:tc>
        <w:tc>
          <w:tcPr>
            <w:tcW w:w="581" w:type="pct"/>
            <w:shd w:val="clear" w:color="auto" w:fill="auto"/>
            <w:vAlign w:val="center"/>
            <w:hideMark/>
          </w:tcPr>
          <w:p w14:paraId="572CC2AF" w14:textId="77777777" w:rsidR="002036B7" w:rsidRPr="000C0051"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0C0051">
              <w:rPr>
                <w:rFonts w:ascii="Georgia" w:eastAsia="Times New Roman" w:hAnsi="Georgia" w:cs="Calibri"/>
                <w:color w:val="000000"/>
                <w:sz w:val="18"/>
                <w:szCs w:val="18"/>
                <w:lang w:eastAsia="fr-FR"/>
              </w:rPr>
              <w:t>Certains actes administratifs des commune, tels que ceux prévus à l'article 91 de la loi n°2014-020 ainsi que ceux liés à leurs domaines d'interventions spécifiques (éducation, santé, infrastructure) ou à des projets financés par des partenaires techniques et financiers, doivent être transmis en contrôle de légalité</w:t>
            </w:r>
          </w:p>
        </w:tc>
      </w:tr>
    </w:tbl>
    <w:p w14:paraId="02A1149D" w14:textId="77777777" w:rsidR="002036B7" w:rsidRDefault="002036B7" w:rsidP="002036B7">
      <w:pPr>
        <w:spacing w:line="360" w:lineRule="auto"/>
        <w:jc w:val="both"/>
        <w:rPr>
          <w:rFonts w:ascii="Georgia" w:hAnsi="Georgia"/>
          <w:sz w:val="24"/>
          <w:szCs w:val="24"/>
        </w:rPr>
      </w:pPr>
    </w:p>
    <w:p w14:paraId="78A06E53" w14:textId="77777777" w:rsidR="002036B7" w:rsidRDefault="002036B7" w:rsidP="002036B7">
      <w:pPr>
        <w:rPr>
          <w:rFonts w:ascii="Georgia" w:hAnsi="Georgia"/>
          <w:sz w:val="24"/>
          <w:szCs w:val="24"/>
        </w:rPr>
        <w:sectPr w:rsidR="002036B7" w:rsidSect="000C0051">
          <w:pgSz w:w="15840" w:h="12240" w:orient="landscape"/>
          <w:pgMar w:top="1418" w:right="1418" w:bottom="1418" w:left="1418" w:header="720" w:footer="720" w:gutter="0"/>
          <w:cols w:space="720"/>
          <w:docGrid w:linePitch="299"/>
        </w:sectPr>
      </w:pPr>
    </w:p>
    <w:p w14:paraId="3DB55533" w14:textId="77777777" w:rsidR="002036B7" w:rsidRDefault="002036B7" w:rsidP="002036B7">
      <w:pPr>
        <w:rPr>
          <w:rFonts w:ascii="Georgia" w:hAnsi="Georgia"/>
          <w:sz w:val="24"/>
          <w:szCs w:val="24"/>
        </w:rPr>
      </w:pPr>
    </w:p>
    <w:p w14:paraId="7092576C" w14:textId="77777777" w:rsidR="002036B7" w:rsidRPr="00635F62" w:rsidRDefault="002036B7" w:rsidP="002036B7">
      <w:pPr>
        <w:pStyle w:val="Tableau"/>
      </w:pPr>
      <w:bookmarkStart w:id="1" w:name="_Toc198108880"/>
      <w:r w:rsidRPr="00635F62">
        <w:t>Tableau 2 : Métadonnées des indicateurs des régions</w:t>
      </w:r>
      <w:bookmarkEnd w:id="1"/>
    </w:p>
    <w:tbl>
      <w:tblPr>
        <w:tblW w:w="5588" w:type="pct"/>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26"/>
        <w:gridCol w:w="2611"/>
        <w:gridCol w:w="2659"/>
        <w:gridCol w:w="2208"/>
        <w:gridCol w:w="2100"/>
        <w:gridCol w:w="2794"/>
        <w:gridCol w:w="1590"/>
      </w:tblGrid>
      <w:tr w:rsidR="002036B7" w:rsidRPr="00325E99" w14:paraId="2DC6E7F9" w14:textId="77777777" w:rsidTr="00BC1204">
        <w:trPr>
          <w:trHeight w:val="20"/>
        </w:trPr>
        <w:tc>
          <w:tcPr>
            <w:tcW w:w="333" w:type="pct"/>
            <w:shd w:val="clear" w:color="000000" w:fill="00B0F0"/>
            <w:vAlign w:val="center"/>
            <w:hideMark/>
          </w:tcPr>
          <w:p w14:paraId="3930B888"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THEMATIQUES</w:t>
            </w:r>
          </w:p>
        </w:tc>
        <w:tc>
          <w:tcPr>
            <w:tcW w:w="937" w:type="pct"/>
            <w:shd w:val="clear" w:color="000000" w:fill="00B0F0"/>
            <w:vAlign w:val="center"/>
            <w:hideMark/>
          </w:tcPr>
          <w:p w14:paraId="1D23FB45"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BESOINS</w:t>
            </w:r>
          </w:p>
        </w:tc>
        <w:tc>
          <w:tcPr>
            <w:tcW w:w="952" w:type="pct"/>
            <w:shd w:val="clear" w:color="000000" w:fill="00B0F0"/>
            <w:vAlign w:val="center"/>
            <w:hideMark/>
          </w:tcPr>
          <w:p w14:paraId="086B52F2"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INDICATEURS</w:t>
            </w:r>
          </w:p>
        </w:tc>
        <w:tc>
          <w:tcPr>
            <w:tcW w:w="807" w:type="pct"/>
            <w:shd w:val="clear" w:color="000000" w:fill="00B0F0"/>
            <w:vAlign w:val="center"/>
            <w:hideMark/>
          </w:tcPr>
          <w:p w14:paraId="1859CF54"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MODE DE CALCUL DES INDICATEURS</w:t>
            </w:r>
          </w:p>
        </w:tc>
        <w:tc>
          <w:tcPr>
            <w:tcW w:w="434" w:type="pct"/>
            <w:shd w:val="clear" w:color="000000" w:fill="00B0F0"/>
            <w:vAlign w:val="center"/>
            <w:hideMark/>
          </w:tcPr>
          <w:p w14:paraId="487392F2"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VARIABLES OPERATIONNELLES</w:t>
            </w:r>
          </w:p>
        </w:tc>
        <w:tc>
          <w:tcPr>
            <w:tcW w:w="995" w:type="pct"/>
            <w:shd w:val="clear" w:color="000000" w:fill="00B0F0"/>
            <w:vAlign w:val="center"/>
            <w:hideMark/>
          </w:tcPr>
          <w:p w14:paraId="14D9280E"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DEFINITION DES CONCEPTS CLES</w:t>
            </w:r>
          </w:p>
        </w:tc>
        <w:tc>
          <w:tcPr>
            <w:tcW w:w="541" w:type="pct"/>
            <w:shd w:val="clear" w:color="000000" w:fill="00B0F0"/>
            <w:vAlign w:val="center"/>
            <w:hideMark/>
          </w:tcPr>
          <w:p w14:paraId="69E26844" w14:textId="77777777" w:rsidR="002036B7" w:rsidRPr="00325E99"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325E99">
              <w:rPr>
                <w:rFonts w:ascii="Georgia" w:eastAsia="Times New Roman" w:hAnsi="Georgia" w:cs="Calibri"/>
                <w:b/>
                <w:bCs/>
                <w:color w:val="000000"/>
                <w:sz w:val="18"/>
                <w:szCs w:val="18"/>
                <w:lang w:eastAsia="fr-FR"/>
              </w:rPr>
              <w:t>OBSERVATION</w:t>
            </w:r>
          </w:p>
        </w:tc>
      </w:tr>
      <w:tr w:rsidR="002036B7" w:rsidRPr="00325E99" w14:paraId="38D63006" w14:textId="77777777" w:rsidTr="00BC1204">
        <w:trPr>
          <w:trHeight w:val="20"/>
        </w:trPr>
        <w:tc>
          <w:tcPr>
            <w:tcW w:w="333" w:type="pct"/>
            <w:shd w:val="clear" w:color="auto" w:fill="auto"/>
            <w:vAlign w:val="center"/>
            <w:hideMark/>
          </w:tcPr>
          <w:p w14:paraId="42BE0B2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Environnement</w:t>
            </w:r>
          </w:p>
        </w:tc>
        <w:tc>
          <w:tcPr>
            <w:tcW w:w="937" w:type="pct"/>
            <w:shd w:val="clear" w:color="auto" w:fill="auto"/>
            <w:vAlign w:val="center"/>
            <w:hideMark/>
          </w:tcPr>
          <w:p w14:paraId="0FBFC7B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Niveau d'opérationnalisation des structures en gestion des risques et des catastrophes</w:t>
            </w:r>
          </w:p>
        </w:tc>
        <w:tc>
          <w:tcPr>
            <w:tcW w:w="952" w:type="pct"/>
            <w:shd w:val="clear" w:color="000000" w:fill="FFFFFF"/>
            <w:vAlign w:val="center"/>
            <w:hideMark/>
          </w:tcPr>
          <w:p w14:paraId="4B5E8A4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Pourcentage des régions ayant des structures de Gestion de risques et catastrophes opérationnelles (CRGRC)</w:t>
            </w:r>
          </w:p>
        </w:tc>
        <w:tc>
          <w:tcPr>
            <w:tcW w:w="807" w:type="pct"/>
            <w:shd w:val="clear" w:color="auto" w:fill="auto"/>
            <w:vAlign w:val="center"/>
            <w:hideMark/>
          </w:tcPr>
          <w:p w14:paraId="04ECBAB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régions disposant des structures GRC opérationnelles *100/ Effectif total des communes</w:t>
            </w:r>
          </w:p>
        </w:tc>
        <w:tc>
          <w:tcPr>
            <w:tcW w:w="434" w:type="pct"/>
            <w:shd w:val="clear" w:color="auto" w:fill="auto"/>
            <w:noWrap/>
            <w:vAlign w:val="center"/>
            <w:hideMark/>
          </w:tcPr>
          <w:p w14:paraId="08C3B2E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000000" w:fill="FFFFFF"/>
            <w:vAlign w:val="center"/>
            <w:hideMark/>
          </w:tcPr>
          <w:p w14:paraId="56B433F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Les structures de gestion des risques et catastrophes opérationnelles sont des organisations et des systèmes mis en place pour anticiper, prévenir, gérer et répondre efficacement aux situations d'urgence, comme les catastrophes naturelles, en minimisant les impacts sur les personnes, les biens et l 'environnement.</w:t>
            </w:r>
          </w:p>
        </w:tc>
        <w:tc>
          <w:tcPr>
            <w:tcW w:w="541" w:type="pct"/>
            <w:shd w:val="clear" w:color="auto" w:fill="auto"/>
            <w:noWrap/>
            <w:vAlign w:val="center"/>
            <w:hideMark/>
          </w:tcPr>
          <w:p w14:paraId="5A3B87D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120685FB" w14:textId="77777777" w:rsidTr="00BC1204">
        <w:trPr>
          <w:trHeight w:val="20"/>
        </w:trPr>
        <w:tc>
          <w:tcPr>
            <w:tcW w:w="333" w:type="pct"/>
            <w:shd w:val="clear" w:color="000000" w:fill="FFFFFF"/>
            <w:vAlign w:val="center"/>
            <w:hideMark/>
          </w:tcPr>
          <w:p w14:paraId="0BFD1A8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Gouvernance locale</w:t>
            </w:r>
          </w:p>
        </w:tc>
        <w:tc>
          <w:tcPr>
            <w:tcW w:w="937" w:type="pct"/>
            <w:shd w:val="clear" w:color="000000" w:fill="FFFFFF"/>
            <w:vAlign w:val="center"/>
            <w:hideMark/>
          </w:tcPr>
          <w:p w14:paraId="07EF069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Existence d'une SRC opérationnelle</w:t>
            </w:r>
          </w:p>
        </w:tc>
        <w:tc>
          <w:tcPr>
            <w:tcW w:w="952" w:type="pct"/>
            <w:shd w:val="clear" w:color="000000" w:fill="FFFFFF"/>
            <w:vAlign w:val="center"/>
            <w:hideMark/>
          </w:tcPr>
          <w:p w14:paraId="77DD3B2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Pou</w:t>
            </w:r>
            <w:r>
              <w:rPr>
                <w:rFonts w:ascii="Georgia" w:eastAsia="Times New Roman" w:hAnsi="Georgia" w:cs="Calibri"/>
                <w:color w:val="000000"/>
                <w:sz w:val="18"/>
                <w:szCs w:val="18"/>
                <w:lang w:eastAsia="fr-FR"/>
              </w:rPr>
              <w:t>r</w:t>
            </w:r>
            <w:r w:rsidRPr="00325E99">
              <w:rPr>
                <w:rFonts w:ascii="Georgia" w:eastAsia="Times New Roman" w:hAnsi="Georgia" w:cs="Calibri"/>
                <w:color w:val="000000"/>
                <w:sz w:val="18"/>
                <w:szCs w:val="18"/>
                <w:lang w:eastAsia="fr-FR"/>
              </w:rPr>
              <w:t>centage des Régions disposant une SRC opérationnelle</w:t>
            </w:r>
          </w:p>
        </w:tc>
        <w:tc>
          <w:tcPr>
            <w:tcW w:w="807" w:type="pct"/>
            <w:shd w:val="clear" w:color="000000" w:fill="FFFFFF"/>
            <w:vAlign w:val="center"/>
            <w:hideMark/>
          </w:tcPr>
          <w:p w14:paraId="7D34298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des Régions disposant une SRC fonctionnelle *100/Effectif total des Régions disposant une SRC</w:t>
            </w:r>
          </w:p>
        </w:tc>
        <w:tc>
          <w:tcPr>
            <w:tcW w:w="434" w:type="pct"/>
            <w:shd w:val="clear" w:color="000000" w:fill="FFFFFF"/>
            <w:vAlign w:val="center"/>
            <w:hideMark/>
          </w:tcPr>
          <w:p w14:paraId="552912F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des Régions disposant une SRC fonctionnelle *100/Effectif total des Régions disposant une SRC</w:t>
            </w:r>
          </w:p>
        </w:tc>
        <w:tc>
          <w:tcPr>
            <w:tcW w:w="995" w:type="pct"/>
            <w:shd w:val="clear" w:color="000000" w:fill="FFFFFF"/>
            <w:vAlign w:val="center"/>
            <w:hideMark/>
          </w:tcPr>
          <w:p w14:paraId="23C8F36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Une SRC est considérée comme opérationnelle lorsqu'elle élabore un Plan d'action détaillé, met en œuvre les activités définies dans ce plan et soumet des propositions d'actions à l'organe exécutif de la Région</w:t>
            </w:r>
          </w:p>
        </w:tc>
        <w:tc>
          <w:tcPr>
            <w:tcW w:w="541" w:type="pct"/>
            <w:shd w:val="clear" w:color="000000" w:fill="FFFFFF"/>
            <w:vAlign w:val="center"/>
            <w:hideMark/>
          </w:tcPr>
          <w:p w14:paraId="6F2FA62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06692120" w14:textId="77777777" w:rsidTr="00BC1204">
        <w:trPr>
          <w:trHeight w:val="20"/>
        </w:trPr>
        <w:tc>
          <w:tcPr>
            <w:tcW w:w="333" w:type="pct"/>
            <w:shd w:val="clear" w:color="000000" w:fill="FFFFFF"/>
            <w:vAlign w:val="center"/>
            <w:hideMark/>
          </w:tcPr>
          <w:p w14:paraId="1F4EB73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Gouvernance locale</w:t>
            </w:r>
          </w:p>
        </w:tc>
        <w:tc>
          <w:tcPr>
            <w:tcW w:w="937" w:type="pct"/>
            <w:shd w:val="clear" w:color="auto" w:fill="auto"/>
            <w:vAlign w:val="center"/>
            <w:hideMark/>
          </w:tcPr>
          <w:p w14:paraId="29D87CD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Existence d’outils de planification intégrant le volet changement climatique à jour ; Intégration de l'adaptation au changement climatique dans la planification territoriale</w:t>
            </w:r>
          </w:p>
        </w:tc>
        <w:tc>
          <w:tcPr>
            <w:tcW w:w="952" w:type="pct"/>
            <w:shd w:val="clear" w:color="auto" w:fill="auto"/>
            <w:vAlign w:val="center"/>
            <w:hideMark/>
          </w:tcPr>
          <w:p w14:paraId="7139601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Pourcentage des Régions disposant de SRAT validé et mise en œuvre intégrant le volet changement climatique à jour</w:t>
            </w:r>
          </w:p>
        </w:tc>
        <w:tc>
          <w:tcPr>
            <w:tcW w:w="807" w:type="pct"/>
            <w:shd w:val="clear" w:color="auto" w:fill="auto"/>
            <w:vAlign w:val="center"/>
            <w:hideMark/>
          </w:tcPr>
          <w:p w14:paraId="4127A64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Régions disposant de SRAT à jour intégrant le volet changement climatique*100/ Effectif total des Régions disposant de SRAT</w:t>
            </w:r>
          </w:p>
        </w:tc>
        <w:tc>
          <w:tcPr>
            <w:tcW w:w="434" w:type="pct"/>
            <w:shd w:val="clear" w:color="auto" w:fill="auto"/>
            <w:vAlign w:val="center"/>
            <w:hideMark/>
          </w:tcPr>
          <w:p w14:paraId="292392F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Régions disposant de SRAT à jour intégrant le volet changement climatique*100/ Effectif total des Régions disposant de SRAT</w:t>
            </w:r>
          </w:p>
        </w:tc>
        <w:tc>
          <w:tcPr>
            <w:tcW w:w="995" w:type="pct"/>
            <w:shd w:val="clear" w:color="auto" w:fill="auto"/>
            <w:vAlign w:val="center"/>
            <w:hideMark/>
          </w:tcPr>
          <w:p w14:paraId="54C8FF8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Le SRAT est un outil de planification stratégique local et cadre de référence pour la coordination locale et communale des ressources.  Délai de validité : 10 à 15 ans</w:t>
            </w:r>
          </w:p>
        </w:tc>
        <w:tc>
          <w:tcPr>
            <w:tcW w:w="541" w:type="pct"/>
            <w:shd w:val="clear" w:color="auto" w:fill="auto"/>
            <w:vAlign w:val="center"/>
            <w:hideMark/>
          </w:tcPr>
          <w:p w14:paraId="3DFF4E3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6AC317B2" w14:textId="77777777" w:rsidTr="00BC1204">
        <w:trPr>
          <w:trHeight w:val="20"/>
        </w:trPr>
        <w:tc>
          <w:tcPr>
            <w:tcW w:w="333" w:type="pct"/>
            <w:shd w:val="clear" w:color="000000" w:fill="FFFFFF"/>
            <w:vAlign w:val="center"/>
            <w:hideMark/>
          </w:tcPr>
          <w:p w14:paraId="0A288D7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Gouvernance locale</w:t>
            </w:r>
          </w:p>
        </w:tc>
        <w:tc>
          <w:tcPr>
            <w:tcW w:w="937" w:type="pct"/>
            <w:shd w:val="clear" w:color="auto" w:fill="auto"/>
            <w:vAlign w:val="center"/>
            <w:hideMark/>
          </w:tcPr>
          <w:p w14:paraId="50C8A51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Effectivité de PRD au niveau de chaque Région</w:t>
            </w:r>
          </w:p>
        </w:tc>
        <w:tc>
          <w:tcPr>
            <w:tcW w:w="952" w:type="pct"/>
            <w:shd w:val="clear" w:color="auto" w:fill="auto"/>
            <w:vAlign w:val="center"/>
            <w:hideMark/>
          </w:tcPr>
          <w:p w14:paraId="3C7325E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Pourcentage de Régions disposant de PRD à jour</w:t>
            </w:r>
          </w:p>
        </w:tc>
        <w:tc>
          <w:tcPr>
            <w:tcW w:w="807" w:type="pct"/>
            <w:shd w:val="clear" w:color="auto" w:fill="auto"/>
            <w:vAlign w:val="center"/>
            <w:hideMark/>
          </w:tcPr>
          <w:p w14:paraId="2882A72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Régions disposant de PRD à jour *100/ Effectif total des Régions disposant de PRD</w:t>
            </w:r>
          </w:p>
        </w:tc>
        <w:tc>
          <w:tcPr>
            <w:tcW w:w="434" w:type="pct"/>
            <w:shd w:val="clear" w:color="auto" w:fill="auto"/>
            <w:vAlign w:val="center"/>
            <w:hideMark/>
          </w:tcPr>
          <w:p w14:paraId="3753438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Régions disposant de PRD à jour *100/ Effectif total des Régions disposant de PRD</w:t>
            </w:r>
          </w:p>
        </w:tc>
        <w:tc>
          <w:tcPr>
            <w:tcW w:w="995" w:type="pct"/>
            <w:shd w:val="clear" w:color="auto" w:fill="auto"/>
            <w:vAlign w:val="center"/>
            <w:hideMark/>
          </w:tcPr>
          <w:p w14:paraId="1052935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Un PRD est un outil de planification permettant la mise en œuvre du SRAT</w:t>
            </w:r>
          </w:p>
        </w:tc>
        <w:tc>
          <w:tcPr>
            <w:tcW w:w="541" w:type="pct"/>
            <w:shd w:val="clear" w:color="auto" w:fill="auto"/>
            <w:noWrap/>
            <w:vAlign w:val="center"/>
            <w:hideMark/>
          </w:tcPr>
          <w:p w14:paraId="4AEC6A9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19BD4AC5" w14:textId="77777777" w:rsidTr="00BC1204">
        <w:trPr>
          <w:trHeight w:val="20"/>
        </w:trPr>
        <w:tc>
          <w:tcPr>
            <w:tcW w:w="333" w:type="pct"/>
            <w:shd w:val="clear" w:color="000000" w:fill="FFFFFF"/>
            <w:vAlign w:val="center"/>
            <w:hideMark/>
          </w:tcPr>
          <w:p w14:paraId="597101D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Gouvernance locale</w:t>
            </w:r>
          </w:p>
        </w:tc>
        <w:tc>
          <w:tcPr>
            <w:tcW w:w="937" w:type="pct"/>
            <w:shd w:val="clear" w:color="auto" w:fill="auto"/>
            <w:vAlign w:val="center"/>
            <w:hideMark/>
          </w:tcPr>
          <w:p w14:paraId="5F61ABA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Réception des subventions de l'Etat par les régions dans les délais impartis</w:t>
            </w:r>
          </w:p>
        </w:tc>
        <w:tc>
          <w:tcPr>
            <w:tcW w:w="952" w:type="pct"/>
            <w:shd w:val="clear" w:color="000000" w:fill="FFFFFF"/>
            <w:vAlign w:val="center"/>
            <w:hideMark/>
          </w:tcPr>
          <w:p w14:paraId="410388E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Pourcentage des régions ayant accès à la plateforme intégrée web des ressources disponibles (DCFE, FDL, FNP)</w:t>
            </w:r>
          </w:p>
        </w:tc>
        <w:tc>
          <w:tcPr>
            <w:tcW w:w="807" w:type="pct"/>
            <w:shd w:val="clear" w:color="auto" w:fill="auto"/>
            <w:vAlign w:val="center"/>
            <w:hideMark/>
          </w:tcPr>
          <w:p w14:paraId="3FA8C2B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 xml:space="preserve">Effectif des Régions ayant accès à la plateforme intégrée web des ressources disponibles </w:t>
            </w:r>
            <w:r w:rsidRPr="00325E99">
              <w:rPr>
                <w:rFonts w:ascii="Georgia" w:eastAsia="Times New Roman" w:hAnsi="Georgia" w:cs="Calibri"/>
                <w:color w:val="000000"/>
                <w:sz w:val="18"/>
                <w:szCs w:val="18"/>
                <w:lang w:eastAsia="fr-FR"/>
              </w:rPr>
              <w:lastRenderedPageBreak/>
              <w:t>pour l'année i *100 / Effectif total des Régions</w:t>
            </w:r>
          </w:p>
        </w:tc>
        <w:tc>
          <w:tcPr>
            <w:tcW w:w="434" w:type="pct"/>
            <w:shd w:val="clear" w:color="auto" w:fill="auto"/>
            <w:vAlign w:val="center"/>
            <w:hideMark/>
          </w:tcPr>
          <w:p w14:paraId="4842BF6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lastRenderedPageBreak/>
              <w:t xml:space="preserve">Effectif des Régions ayant accès à la plateforme intégrée web des ressources disponibles pour l'année </w:t>
            </w:r>
            <w:r w:rsidRPr="00325E99">
              <w:rPr>
                <w:rFonts w:ascii="Georgia" w:eastAsia="Times New Roman" w:hAnsi="Georgia" w:cs="Calibri"/>
                <w:color w:val="000000"/>
                <w:sz w:val="18"/>
                <w:szCs w:val="18"/>
                <w:lang w:eastAsia="fr-FR"/>
              </w:rPr>
              <w:lastRenderedPageBreak/>
              <w:t>i *100 / Effectif total des Régions</w:t>
            </w:r>
          </w:p>
        </w:tc>
        <w:tc>
          <w:tcPr>
            <w:tcW w:w="995" w:type="pct"/>
            <w:shd w:val="clear" w:color="auto" w:fill="auto"/>
            <w:vAlign w:val="center"/>
            <w:hideMark/>
          </w:tcPr>
          <w:p w14:paraId="43B65D0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lastRenderedPageBreak/>
              <w:t xml:space="preserve">La plateforme intégrée web des ressources disponibles est un programme numérique permettant de suivre l'évolution </w:t>
            </w:r>
            <w:r w:rsidRPr="00325E99">
              <w:rPr>
                <w:rFonts w:ascii="Georgia" w:eastAsia="Times New Roman" w:hAnsi="Georgia" w:cs="Calibri"/>
                <w:color w:val="000000"/>
                <w:sz w:val="18"/>
                <w:szCs w:val="18"/>
                <w:lang w:eastAsia="fr-FR"/>
              </w:rPr>
              <w:lastRenderedPageBreak/>
              <w:t>du processus de transferts des subventions</w:t>
            </w:r>
          </w:p>
        </w:tc>
        <w:tc>
          <w:tcPr>
            <w:tcW w:w="541" w:type="pct"/>
            <w:shd w:val="clear" w:color="auto" w:fill="auto"/>
            <w:vAlign w:val="center"/>
            <w:hideMark/>
          </w:tcPr>
          <w:p w14:paraId="461B209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lastRenderedPageBreak/>
              <w:t xml:space="preserve">Chaque commune devrait demander l'accès au plateforme web </w:t>
            </w:r>
            <w:r w:rsidRPr="00325E99">
              <w:rPr>
                <w:rFonts w:ascii="Georgia" w:eastAsia="Times New Roman" w:hAnsi="Georgia" w:cs="Calibri"/>
                <w:color w:val="000000"/>
                <w:sz w:val="18"/>
                <w:szCs w:val="18"/>
                <w:lang w:eastAsia="fr-FR"/>
              </w:rPr>
              <w:lastRenderedPageBreak/>
              <w:t>des ressources locales</w:t>
            </w:r>
          </w:p>
        </w:tc>
      </w:tr>
      <w:tr w:rsidR="002036B7" w:rsidRPr="00325E99" w14:paraId="4DEFECF7" w14:textId="77777777" w:rsidTr="00BC1204">
        <w:trPr>
          <w:trHeight w:val="20"/>
        </w:trPr>
        <w:tc>
          <w:tcPr>
            <w:tcW w:w="333" w:type="pct"/>
            <w:shd w:val="clear" w:color="000000" w:fill="FFFFFF"/>
            <w:vAlign w:val="center"/>
            <w:hideMark/>
          </w:tcPr>
          <w:p w14:paraId="0DEA373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lastRenderedPageBreak/>
              <w:t>Gouvernance locale</w:t>
            </w:r>
          </w:p>
        </w:tc>
        <w:tc>
          <w:tcPr>
            <w:tcW w:w="937" w:type="pct"/>
            <w:shd w:val="clear" w:color="auto" w:fill="auto"/>
            <w:vAlign w:val="center"/>
            <w:hideMark/>
          </w:tcPr>
          <w:p w14:paraId="6D55160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Effectivité de la redevabilité sociale au niveau régional</w:t>
            </w:r>
          </w:p>
        </w:tc>
        <w:tc>
          <w:tcPr>
            <w:tcW w:w="952" w:type="pct"/>
            <w:shd w:val="clear" w:color="000000" w:fill="FFFFFF"/>
            <w:vAlign w:val="center"/>
            <w:hideMark/>
          </w:tcPr>
          <w:p w14:paraId="743B6E6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Pourcentage des régions effectuant annuellement des séances de présentation publique de leur budget et compte administratif</w:t>
            </w:r>
          </w:p>
        </w:tc>
        <w:tc>
          <w:tcPr>
            <w:tcW w:w="807" w:type="pct"/>
            <w:shd w:val="clear" w:color="auto" w:fill="auto"/>
            <w:vAlign w:val="center"/>
            <w:hideMark/>
          </w:tcPr>
          <w:p w14:paraId="2707272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des régions effectuant annuellement des séances de présentation publique de leur budget et compte administratif *100/Effectif des communes ayant un budget et un compte administratif</w:t>
            </w:r>
          </w:p>
        </w:tc>
        <w:tc>
          <w:tcPr>
            <w:tcW w:w="434" w:type="pct"/>
            <w:shd w:val="clear" w:color="auto" w:fill="auto"/>
            <w:vAlign w:val="center"/>
            <w:hideMark/>
          </w:tcPr>
          <w:p w14:paraId="5875025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des régions effectuant annuellement des séances de présentation publique de leur budget et compte administratif *100/Effectif des communes ayant un budget et un compte administratif</w:t>
            </w:r>
          </w:p>
        </w:tc>
        <w:tc>
          <w:tcPr>
            <w:tcW w:w="995" w:type="pct"/>
            <w:shd w:val="clear" w:color="auto" w:fill="auto"/>
            <w:vAlign w:val="center"/>
            <w:hideMark/>
          </w:tcPr>
          <w:p w14:paraId="1BE8A0C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vAlign w:val="center"/>
            <w:hideMark/>
          </w:tcPr>
          <w:p w14:paraId="466C907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1BF866DA" w14:textId="77777777" w:rsidTr="00BC1204">
        <w:trPr>
          <w:trHeight w:val="20"/>
        </w:trPr>
        <w:tc>
          <w:tcPr>
            <w:tcW w:w="333" w:type="pct"/>
            <w:shd w:val="clear" w:color="000000" w:fill="FFFFFF"/>
            <w:vAlign w:val="center"/>
            <w:hideMark/>
          </w:tcPr>
          <w:p w14:paraId="0862AC9B"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auto" w:fill="auto"/>
            <w:vAlign w:val="center"/>
            <w:hideMark/>
          </w:tcPr>
          <w:p w14:paraId="4C8466D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Amélioration de l'accès des populations aux infrastructures d'approvisionnement en eau potable</w:t>
            </w:r>
          </w:p>
        </w:tc>
        <w:tc>
          <w:tcPr>
            <w:tcW w:w="952" w:type="pct"/>
            <w:shd w:val="clear" w:color="000000" w:fill="FFFFFF"/>
            <w:vAlign w:val="center"/>
            <w:hideMark/>
          </w:tcPr>
          <w:p w14:paraId="0E6AFAB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d'accès au service d'eau de base</w:t>
            </w:r>
          </w:p>
        </w:tc>
        <w:tc>
          <w:tcPr>
            <w:tcW w:w="807" w:type="pct"/>
            <w:shd w:val="clear" w:color="auto" w:fill="auto"/>
            <w:vAlign w:val="center"/>
            <w:hideMark/>
          </w:tcPr>
          <w:p w14:paraId="3921DEF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vAlign w:val="center"/>
            <w:hideMark/>
          </w:tcPr>
          <w:p w14:paraId="63731C9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vAlign w:val="center"/>
            <w:hideMark/>
          </w:tcPr>
          <w:p w14:paraId="521DBB6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L'accès à l'eau potable désigne la capacité des populations à disposer d'une eau de qualité, propre à la consommation humaine, en quantité suffisante et dans des conditions acceptables de distance, de coût et de fiabilité.</w:t>
            </w:r>
          </w:p>
        </w:tc>
        <w:tc>
          <w:tcPr>
            <w:tcW w:w="541" w:type="pct"/>
            <w:shd w:val="clear" w:color="auto" w:fill="auto"/>
            <w:noWrap/>
            <w:vAlign w:val="center"/>
            <w:hideMark/>
          </w:tcPr>
          <w:p w14:paraId="59AB4EB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6250056A" w14:textId="77777777" w:rsidTr="00BC1204">
        <w:trPr>
          <w:trHeight w:val="20"/>
        </w:trPr>
        <w:tc>
          <w:tcPr>
            <w:tcW w:w="333" w:type="pct"/>
            <w:shd w:val="clear" w:color="000000" w:fill="FFFFFF"/>
            <w:vAlign w:val="center"/>
            <w:hideMark/>
          </w:tcPr>
          <w:p w14:paraId="238E89E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auto" w:fill="auto"/>
            <w:vAlign w:val="center"/>
            <w:hideMark/>
          </w:tcPr>
          <w:p w14:paraId="2E4CE1B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Amélioration de l'accès des populations aux infrastructures d'assainissement de base</w:t>
            </w:r>
          </w:p>
        </w:tc>
        <w:tc>
          <w:tcPr>
            <w:tcW w:w="952" w:type="pct"/>
            <w:shd w:val="clear" w:color="000000" w:fill="FFFFFF"/>
            <w:vAlign w:val="center"/>
            <w:hideMark/>
          </w:tcPr>
          <w:p w14:paraId="567C2D4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d'accès à l'assainissement de base</w:t>
            </w:r>
          </w:p>
        </w:tc>
        <w:tc>
          <w:tcPr>
            <w:tcW w:w="807" w:type="pct"/>
            <w:shd w:val="clear" w:color="auto" w:fill="auto"/>
            <w:vAlign w:val="center"/>
            <w:hideMark/>
          </w:tcPr>
          <w:p w14:paraId="74E1EA09"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19DC550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34B6CDD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6403012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164CFE90" w14:textId="77777777" w:rsidTr="00BC1204">
        <w:trPr>
          <w:trHeight w:val="20"/>
        </w:trPr>
        <w:tc>
          <w:tcPr>
            <w:tcW w:w="333" w:type="pct"/>
            <w:shd w:val="clear" w:color="000000" w:fill="FFFFFF"/>
            <w:vAlign w:val="center"/>
            <w:hideMark/>
          </w:tcPr>
          <w:p w14:paraId="32ECA1F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auto" w:fill="auto"/>
            <w:vAlign w:val="center"/>
            <w:hideMark/>
          </w:tcPr>
          <w:p w14:paraId="3B0DDD7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Connaissance des communes ODF</w:t>
            </w:r>
          </w:p>
        </w:tc>
        <w:tc>
          <w:tcPr>
            <w:tcW w:w="952" w:type="pct"/>
            <w:shd w:val="clear" w:color="000000" w:fill="FFFFFF"/>
            <w:vAlign w:val="center"/>
            <w:hideMark/>
          </w:tcPr>
          <w:p w14:paraId="1DF4FCB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Nombre de commune ODF</w:t>
            </w:r>
          </w:p>
        </w:tc>
        <w:tc>
          <w:tcPr>
            <w:tcW w:w="807" w:type="pct"/>
            <w:shd w:val="clear" w:color="auto" w:fill="auto"/>
            <w:noWrap/>
            <w:vAlign w:val="center"/>
            <w:hideMark/>
          </w:tcPr>
          <w:p w14:paraId="5A8EAE19"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2EB9DDD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2B800BA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6A4C9069"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0962C5CE" w14:textId="77777777" w:rsidTr="00BC1204">
        <w:trPr>
          <w:trHeight w:val="20"/>
        </w:trPr>
        <w:tc>
          <w:tcPr>
            <w:tcW w:w="333" w:type="pct"/>
            <w:shd w:val="clear" w:color="000000" w:fill="FFFFFF"/>
            <w:vAlign w:val="center"/>
            <w:hideMark/>
          </w:tcPr>
          <w:p w14:paraId="22CE9BC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auto" w:fill="auto"/>
            <w:vAlign w:val="center"/>
            <w:hideMark/>
          </w:tcPr>
          <w:p w14:paraId="6B3BD7D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Extension de l'accès des populations aux infrastructures de distribution d'électricité</w:t>
            </w:r>
          </w:p>
        </w:tc>
        <w:tc>
          <w:tcPr>
            <w:tcW w:w="952" w:type="pct"/>
            <w:shd w:val="clear" w:color="000000" w:fill="FFFFFF"/>
            <w:vAlign w:val="center"/>
            <w:hideMark/>
          </w:tcPr>
          <w:p w14:paraId="71D55C0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d'accès à l'électricité</w:t>
            </w:r>
          </w:p>
        </w:tc>
        <w:tc>
          <w:tcPr>
            <w:tcW w:w="807" w:type="pct"/>
            <w:shd w:val="clear" w:color="auto" w:fill="auto"/>
            <w:noWrap/>
            <w:vAlign w:val="center"/>
            <w:hideMark/>
          </w:tcPr>
          <w:p w14:paraId="2138667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vAlign w:val="center"/>
            <w:hideMark/>
          </w:tcPr>
          <w:p w14:paraId="0BBFA8B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vAlign w:val="center"/>
            <w:hideMark/>
          </w:tcPr>
          <w:p w14:paraId="52B7506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L'accès à l'électricité définit la capacité pour une population d'avoir accès à une source fiable, abordable et suffisante d'énergie électrique pour répondre à ses besoins domestiques, économiques et sociaux.</w:t>
            </w:r>
          </w:p>
        </w:tc>
        <w:tc>
          <w:tcPr>
            <w:tcW w:w="541" w:type="pct"/>
            <w:shd w:val="clear" w:color="auto" w:fill="auto"/>
            <w:noWrap/>
            <w:vAlign w:val="center"/>
            <w:hideMark/>
          </w:tcPr>
          <w:p w14:paraId="5D93C7B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6881F6A7" w14:textId="77777777" w:rsidTr="00BC1204">
        <w:trPr>
          <w:trHeight w:val="20"/>
        </w:trPr>
        <w:tc>
          <w:tcPr>
            <w:tcW w:w="333" w:type="pct"/>
            <w:shd w:val="clear" w:color="000000" w:fill="FFFFFF"/>
            <w:vAlign w:val="center"/>
            <w:hideMark/>
          </w:tcPr>
          <w:p w14:paraId="2D4B140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344C201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Connaissance de niveau de sécurisation foncière</w:t>
            </w:r>
          </w:p>
        </w:tc>
        <w:tc>
          <w:tcPr>
            <w:tcW w:w="952" w:type="pct"/>
            <w:shd w:val="clear" w:color="000000" w:fill="FFFFFF"/>
            <w:vAlign w:val="center"/>
            <w:hideMark/>
          </w:tcPr>
          <w:p w14:paraId="6778F4F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certificats fonciers distribués</w:t>
            </w:r>
          </w:p>
        </w:tc>
        <w:tc>
          <w:tcPr>
            <w:tcW w:w="807" w:type="pct"/>
            <w:shd w:val="clear" w:color="auto" w:fill="auto"/>
            <w:noWrap/>
            <w:vAlign w:val="center"/>
            <w:hideMark/>
          </w:tcPr>
          <w:p w14:paraId="265B82C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1FB5B3B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18BD152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28E15B8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29E41AED" w14:textId="77777777" w:rsidTr="00BC1204">
        <w:trPr>
          <w:trHeight w:val="20"/>
        </w:trPr>
        <w:tc>
          <w:tcPr>
            <w:tcW w:w="333" w:type="pct"/>
            <w:shd w:val="clear" w:color="000000" w:fill="FFFFFF"/>
            <w:vAlign w:val="center"/>
            <w:hideMark/>
          </w:tcPr>
          <w:p w14:paraId="5CE05AF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260F21C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Connaissance de niveau de sécurisation foncière</w:t>
            </w:r>
          </w:p>
        </w:tc>
        <w:tc>
          <w:tcPr>
            <w:tcW w:w="952" w:type="pct"/>
            <w:shd w:val="clear" w:color="000000" w:fill="FFFFFF"/>
            <w:vAlign w:val="center"/>
            <w:hideMark/>
          </w:tcPr>
          <w:p w14:paraId="2D8EC96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Effectif de titres ou cadastres distribués</w:t>
            </w:r>
          </w:p>
        </w:tc>
        <w:tc>
          <w:tcPr>
            <w:tcW w:w="807" w:type="pct"/>
            <w:shd w:val="clear" w:color="auto" w:fill="auto"/>
            <w:noWrap/>
            <w:vAlign w:val="center"/>
            <w:hideMark/>
          </w:tcPr>
          <w:p w14:paraId="59D1113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448D550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7D049BC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34D9FDA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5FA1AA3D" w14:textId="77777777" w:rsidTr="00BC1204">
        <w:trPr>
          <w:trHeight w:val="20"/>
        </w:trPr>
        <w:tc>
          <w:tcPr>
            <w:tcW w:w="333" w:type="pct"/>
            <w:shd w:val="clear" w:color="000000" w:fill="FFFFFF"/>
            <w:vAlign w:val="center"/>
            <w:hideMark/>
          </w:tcPr>
          <w:p w14:paraId="2EE9BF3B"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5859F8B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Impact des activités menées sur la scolarisation des enfants</w:t>
            </w:r>
          </w:p>
        </w:tc>
        <w:tc>
          <w:tcPr>
            <w:tcW w:w="952" w:type="pct"/>
            <w:shd w:val="clear" w:color="000000" w:fill="FFFFFF"/>
            <w:vAlign w:val="center"/>
            <w:hideMark/>
          </w:tcPr>
          <w:p w14:paraId="0EA6C2B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brut de scolarisation au primaire</w:t>
            </w:r>
          </w:p>
        </w:tc>
        <w:tc>
          <w:tcPr>
            <w:tcW w:w="807" w:type="pct"/>
            <w:shd w:val="clear" w:color="auto" w:fill="auto"/>
            <w:noWrap/>
            <w:vAlign w:val="center"/>
            <w:hideMark/>
          </w:tcPr>
          <w:p w14:paraId="2E87EE1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2FC5065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34916E0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4A37F43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3C80F39D" w14:textId="77777777" w:rsidTr="00BC1204">
        <w:trPr>
          <w:trHeight w:val="20"/>
        </w:trPr>
        <w:tc>
          <w:tcPr>
            <w:tcW w:w="333" w:type="pct"/>
            <w:shd w:val="clear" w:color="000000" w:fill="FFFFFF"/>
            <w:vAlign w:val="center"/>
            <w:hideMark/>
          </w:tcPr>
          <w:p w14:paraId="580CDD7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00983ED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Impact des activités menées sur la scolarisation des enfants</w:t>
            </w:r>
          </w:p>
        </w:tc>
        <w:tc>
          <w:tcPr>
            <w:tcW w:w="952" w:type="pct"/>
            <w:shd w:val="clear" w:color="000000" w:fill="FFFFFF"/>
            <w:vAlign w:val="center"/>
            <w:hideMark/>
          </w:tcPr>
          <w:p w14:paraId="6BAFDBE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d'abandon scolaire au niveau primaire</w:t>
            </w:r>
          </w:p>
        </w:tc>
        <w:tc>
          <w:tcPr>
            <w:tcW w:w="807" w:type="pct"/>
            <w:shd w:val="clear" w:color="auto" w:fill="auto"/>
            <w:noWrap/>
            <w:vAlign w:val="center"/>
            <w:hideMark/>
          </w:tcPr>
          <w:p w14:paraId="54941B4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50E7BA5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64E3F73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188EE20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4E89D552" w14:textId="77777777" w:rsidTr="00BC1204">
        <w:trPr>
          <w:trHeight w:val="20"/>
        </w:trPr>
        <w:tc>
          <w:tcPr>
            <w:tcW w:w="333" w:type="pct"/>
            <w:shd w:val="clear" w:color="000000" w:fill="FFFFFF"/>
            <w:vAlign w:val="center"/>
            <w:hideMark/>
          </w:tcPr>
          <w:p w14:paraId="3A0EB12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lastRenderedPageBreak/>
              <w:t>Autres secteurs</w:t>
            </w:r>
          </w:p>
        </w:tc>
        <w:tc>
          <w:tcPr>
            <w:tcW w:w="937" w:type="pct"/>
            <w:shd w:val="clear" w:color="000000" w:fill="FFFFFF"/>
            <w:vAlign w:val="center"/>
            <w:hideMark/>
          </w:tcPr>
          <w:p w14:paraId="60AF7E0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Adéquation des infrastructures sanitaires par rapport à la croissance démographique</w:t>
            </w:r>
          </w:p>
        </w:tc>
        <w:tc>
          <w:tcPr>
            <w:tcW w:w="952" w:type="pct"/>
            <w:shd w:val="clear" w:color="000000" w:fill="FFFFFF"/>
            <w:vAlign w:val="center"/>
            <w:hideMark/>
          </w:tcPr>
          <w:p w14:paraId="4782063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Ratio FS fonctionnel et population</w:t>
            </w:r>
          </w:p>
        </w:tc>
        <w:tc>
          <w:tcPr>
            <w:tcW w:w="807" w:type="pct"/>
            <w:shd w:val="clear" w:color="auto" w:fill="auto"/>
            <w:noWrap/>
            <w:vAlign w:val="center"/>
            <w:hideMark/>
          </w:tcPr>
          <w:p w14:paraId="62345C1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0DBECE5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6BFE47C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1514804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58EB0813" w14:textId="77777777" w:rsidTr="00BC1204">
        <w:trPr>
          <w:trHeight w:val="20"/>
        </w:trPr>
        <w:tc>
          <w:tcPr>
            <w:tcW w:w="333" w:type="pct"/>
            <w:shd w:val="clear" w:color="000000" w:fill="FFFFFF"/>
            <w:vAlign w:val="center"/>
            <w:hideMark/>
          </w:tcPr>
          <w:p w14:paraId="18C9871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0650C1E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Adéquation de nombre des personnels de santé par rapport à la croissance démographique</w:t>
            </w:r>
          </w:p>
        </w:tc>
        <w:tc>
          <w:tcPr>
            <w:tcW w:w="952" w:type="pct"/>
            <w:shd w:val="clear" w:color="000000" w:fill="FFFFFF"/>
            <w:vAlign w:val="center"/>
            <w:hideMark/>
          </w:tcPr>
          <w:p w14:paraId="632B32A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Ratio de personnel de santé et population</w:t>
            </w:r>
          </w:p>
        </w:tc>
        <w:tc>
          <w:tcPr>
            <w:tcW w:w="807" w:type="pct"/>
            <w:shd w:val="clear" w:color="auto" w:fill="auto"/>
            <w:noWrap/>
            <w:vAlign w:val="center"/>
            <w:hideMark/>
          </w:tcPr>
          <w:p w14:paraId="0B43F17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4892205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28EE99F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6495911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6558EB53" w14:textId="77777777" w:rsidTr="00BC1204">
        <w:trPr>
          <w:trHeight w:val="20"/>
        </w:trPr>
        <w:tc>
          <w:tcPr>
            <w:tcW w:w="333" w:type="pct"/>
            <w:shd w:val="clear" w:color="000000" w:fill="FFFFFF"/>
            <w:vAlign w:val="center"/>
            <w:hideMark/>
          </w:tcPr>
          <w:p w14:paraId="4BA1A50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13440AFB"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Efficacité de programme contre la malnutrition</w:t>
            </w:r>
          </w:p>
        </w:tc>
        <w:tc>
          <w:tcPr>
            <w:tcW w:w="952" w:type="pct"/>
            <w:shd w:val="clear" w:color="000000" w:fill="FFFFFF"/>
            <w:vAlign w:val="center"/>
            <w:hideMark/>
          </w:tcPr>
          <w:p w14:paraId="3465FD1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de malnutrition aigue</w:t>
            </w:r>
          </w:p>
        </w:tc>
        <w:tc>
          <w:tcPr>
            <w:tcW w:w="807" w:type="pct"/>
            <w:shd w:val="clear" w:color="auto" w:fill="auto"/>
            <w:noWrap/>
            <w:vAlign w:val="center"/>
            <w:hideMark/>
          </w:tcPr>
          <w:p w14:paraId="47AA9D1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7759575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39798D1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07265A0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23B59CA9" w14:textId="77777777" w:rsidTr="00BC1204">
        <w:trPr>
          <w:trHeight w:val="20"/>
        </w:trPr>
        <w:tc>
          <w:tcPr>
            <w:tcW w:w="333" w:type="pct"/>
            <w:shd w:val="clear" w:color="000000" w:fill="FFFFFF"/>
            <w:vAlign w:val="center"/>
            <w:hideMark/>
          </w:tcPr>
          <w:p w14:paraId="1F48CA1D"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467E70C8"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Efficacité de programme contre</w:t>
            </w:r>
            <w:r>
              <w:rPr>
                <w:rFonts w:ascii="Georgia" w:eastAsia="Times New Roman" w:hAnsi="Georgia" w:cs="Calibri"/>
                <w:color w:val="000000"/>
                <w:sz w:val="18"/>
                <w:szCs w:val="18"/>
                <w:lang w:eastAsia="fr-FR"/>
              </w:rPr>
              <w:t xml:space="preserve"> </w:t>
            </w:r>
            <w:r w:rsidRPr="00325E99">
              <w:rPr>
                <w:rFonts w:ascii="Georgia" w:eastAsia="Times New Roman" w:hAnsi="Georgia" w:cs="Calibri"/>
                <w:color w:val="000000"/>
                <w:sz w:val="18"/>
                <w:szCs w:val="18"/>
                <w:lang w:eastAsia="fr-FR"/>
              </w:rPr>
              <w:t>l'insécurité alimentaire</w:t>
            </w:r>
          </w:p>
        </w:tc>
        <w:tc>
          <w:tcPr>
            <w:tcW w:w="952" w:type="pct"/>
            <w:shd w:val="clear" w:color="000000" w:fill="FFFFFF"/>
            <w:vAlign w:val="center"/>
            <w:hideMark/>
          </w:tcPr>
          <w:p w14:paraId="7BB995F9"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Taux d'insécurité alimentaire</w:t>
            </w:r>
          </w:p>
        </w:tc>
        <w:tc>
          <w:tcPr>
            <w:tcW w:w="807" w:type="pct"/>
            <w:shd w:val="clear" w:color="auto" w:fill="auto"/>
            <w:noWrap/>
            <w:vAlign w:val="center"/>
            <w:hideMark/>
          </w:tcPr>
          <w:p w14:paraId="19BB723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47185150"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0AF4348B"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5590811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47790A91" w14:textId="77777777" w:rsidTr="00BC1204">
        <w:trPr>
          <w:trHeight w:val="20"/>
        </w:trPr>
        <w:tc>
          <w:tcPr>
            <w:tcW w:w="333" w:type="pct"/>
            <w:shd w:val="clear" w:color="000000" w:fill="FFFFFF"/>
            <w:vAlign w:val="center"/>
            <w:hideMark/>
          </w:tcPr>
          <w:p w14:paraId="0947CD8C"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22A538A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Couverture de la protection sociale</w:t>
            </w:r>
          </w:p>
        </w:tc>
        <w:tc>
          <w:tcPr>
            <w:tcW w:w="952" w:type="pct"/>
            <w:shd w:val="clear" w:color="000000" w:fill="FFFFFF"/>
            <w:vAlign w:val="center"/>
            <w:hideMark/>
          </w:tcPr>
          <w:p w14:paraId="377AE20A"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Nombre de personne bénéficiaire de filet de sécurité sociale</w:t>
            </w:r>
          </w:p>
        </w:tc>
        <w:tc>
          <w:tcPr>
            <w:tcW w:w="807" w:type="pct"/>
            <w:shd w:val="clear" w:color="auto" w:fill="auto"/>
            <w:noWrap/>
            <w:vAlign w:val="center"/>
            <w:hideMark/>
          </w:tcPr>
          <w:p w14:paraId="003E7A2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77E08F1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7CDF5C25"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1FDEF56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227C07A7" w14:textId="77777777" w:rsidTr="00BC1204">
        <w:trPr>
          <w:trHeight w:val="20"/>
        </w:trPr>
        <w:tc>
          <w:tcPr>
            <w:tcW w:w="333" w:type="pct"/>
            <w:shd w:val="clear" w:color="000000" w:fill="FFFFFF"/>
            <w:vAlign w:val="center"/>
            <w:hideMark/>
          </w:tcPr>
          <w:p w14:paraId="0997459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0B54FDA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52" w:type="pct"/>
            <w:shd w:val="clear" w:color="000000" w:fill="FFFFFF"/>
            <w:vAlign w:val="center"/>
            <w:hideMark/>
          </w:tcPr>
          <w:p w14:paraId="5692F289"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Production</w:t>
            </w:r>
          </w:p>
        </w:tc>
        <w:tc>
          <w:tcPr>
            <w:tcW w:w="807" w:type="pct"/>
            <w:shd w:val="clear" w:color="auto" w:fill="auto"/>
            <w:noWrap/>
            <w:vAlign w:val="center"/>
            <w:hideMark/>
          </w:tcPr>
          <w:p w14:paraId="5E6F64E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728005A1"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3464E567"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1DC17A4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325E99" w14:paraId="41250E46" w14:textId="77777777" w:rsidTr="00BC1204">
        <w:trPr>
          <w:trHeight w:val="20"/>
        </w:trPr>
        <w:tc>
          <w:tcPr>
            <w:tcW w:w="333" w:type="pct"/>
            <w:shd w:val="clear" w:color="000000" w:fill="FFFFFF"/>
            <w:vAlign w:val="center"/>
            <w:hideMark/>
          </w:tcPr>
          <w:p w14:paraId="0B3E44B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Autres secteurs</w:t>
            </w:r>
          </w:p>
        </w:tc>
        <w:tc>
          <w:tcPr>
            <w:tcW w:w="937" w:type="pct"/>
            <w:shd w:val="clear" w:color="000000" w:fill="FFFFFF"/>
            <w:vAlign w:val="center"/>
            <w:hideMark/>
          </w:tcPr>
          <w:p w14:paraId="6EDE2EE3"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Potentialité économique de la région</w:t>
            </w:r>
          </w:p>
        </w:tc>
        <w:tc>
          <w:tcPr>
            <w:tcW w:w="952" w:type="pct"/>
            <w:shd w:val="clear" w:color="000000" w:fill="FFFFFF"/>
            <w:vAlign w:val="center"/>
            <w:hideMark/>
          </w:tcPr>
          <w:p w14:paraId="5CB9AC94"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325E99">
              <w:rPr>
                <w:rFonts w:ascii="Georgia" w:eastAsia="Times New Roman" w:hAnsi="Georgia" w:cs="Calibri"/>
                <w:color w:val="000000"/>
                <w:sz w:val="18"/>
                <w:szCs w:val="18"/>
                <w:lang w:eastAsia="fr-FR"/>
              </w:rPr>
              <w:t>Nombre d'entreprise dans la région</w:t>
            </w:r>
          </w:p>
        </w:tc>
        <w:tc>
          <w:tcPr>
            <w:tcW w:w="807" w:type="pct"/>
            <w:shd w:val="clear" w:color="auto" w:fill="auto"/>
            <w:noWrap/>
            <w:vAlign w:val="center"/>
            <w:hideMark/>
          </w:tcPr>
          <w:p w14:paraId="5A1E9C2E"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434" w:type="pct"/>
            <w:shd w:val="clear" w:color="auto" w:fill="auto"/>
            <w:noWrap/>
            <w:vAlign w:val="center"/>
            <w:hideMark/>
          </w:tcPr>
          <w:p w14:paraId="635A788F"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95" w:type="pct"/>
            <w:shd w:val="clear" w:color="auto" w:fill="auto"/>
            <w:noWrap/>
            <w:vAlign w:val="center"/>
            <w:hideMark/>
          </w:tcPr>
          <w:p w14:paraId="20CFFCB6"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41" w:type="pct"/>
            <w:shd w:val="clear" w:color="auto" w:fill="auto"/>
            <w:noWrap/>
            <w:vAlign w:val="center"/>
            <w:hideMark/>
          </w:tcPr>
          <w:p w14:paraId="661EA822" w14:textId="77777777" w:rsidR="002036B7" w:rsidRPr="00325E99"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bl>
    <w:p w14:paraId="45A158D0" w14:textId="77777777" w:rsidR="002036B7" w:rsidRDefault="002036B7" w:rsidP="002036B7">
      <w:pPr>
        <w:rPr>
          <w:rFonts w:ascii="Georgia" w:hAnsi="Georgia"/>
          <w:sz w:val="24"/>
          <w:szCs w:val="24"/>
        </w:rPr>
      </w:pPr>
    </w:p>
    <w:p w14:paraId="59D9050B" w14:textId="77777777" w:rsidR="002036B7" w:rsidRDefault="002036B7" w:rsidP="002036B7">
      <w:pPr>
        <w:suppressAutoHyphens w:val="0"/>
        <w:autoSpaceDN/>
        <w:spacing w:line="259" w:lineRule="auto"/>
        <w:rPr>
          <w:rFonts w:ascii="Georgia" w:hAnsi="Georgia"/>
          <w:sz w:val="24"/>
          <w:szCs w:val="24"/>
        </w:rPr>
      </w:pPr>
      <w:r>
        <w:rPr>
          <w:rFonts w:ascii="Georgia" w:hAnsi="Georgia"/>
          <w:sz w:val="24"/>
          <w:szCs w:val="24"/>
        </w:rPr>
        <w:br w:type="page"/>
      </w:r>
    </w:p>
    <w:p w14:paraId="75A35CE5" w14:textId="77777777" w:rsidR="002036B7" w:rsidRDefault="002036B7" w:rsidP="002036B7">
      <w:pPr>
        <w:pStyle w:val="Tableau"/>
      </w:pPr>
      <w:bookmarkStart w:id="2" w:name="_Toc198108881"/>
      <w:r>
        <w:lastRenderedPageBreak/>
        <w:t>Tableau 3 : Métadonnées des indicateurs de l’ODDL</w:t>
      </w:r>
      <w:bookmarkEnd w:id="2"/>
    </w:p>
    <w:tbl>
      <w:tblPr>
        <w:tblW w:w="5573" w:type="pct"/>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48"/>
        <w:gridCol w:w="1635"/>
        <w:gridCol w:w="1645"/>
        <w:gridCol w:w="2892"/>
        <w:gridCol w:w="2885"/>
        <w:gridCol w:w="2027"/>
        <w:gridCol w:w="2714"/>
      </w:tblGrid>
      <w:tr w:rsidR="002036B7" w:rsidRPr="00635F62" w14:paraId="0B28C0D2" w14:textId="77777777" w:rsidTr="00BC1204">
        <w:trPr>
          <w:trHeight w:val="20"/>
        </w:trPr>
        <w:tc>
          <w:tcPr>
            <w:tcW w:w="562" w:type="pct"/>
            <w:shd w:val="clear" w:color="000000" w:fill="A9D08E"/>
            <w:vAlign w:val="center"/>
            <w:hideMark/>
          </w:tcPr>
          <w:p w14:paraId="172FBE98"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THEMATIQUES</w:t>
            </w:r>
          </w:p>
        </w:tc>
        <w:tc>
          <w:tcPr>
            <w:tcW w:w="526" w:type="pct"/>
            <w:shd w:val="clear" w:color="000000" w:fill="A9D08E"/>
            <w:vAlign w:val="center"/>
            <w:hideMark/>
          </w:tcPr>
          <w:p w14:paraId="1DAF9B5F"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BESOINS</w:t>
            </w:r>
          </w:p>
        </w:tc>
        <w:tc>
          <w:tcPr>
            <w:tcW w:w="529" w:type="pct"/>
            <w:shd w:val="clear" w:color="000000" w:fill="A9D08E"/>
            <w:vAlign w:val="center"/>
            <w:hideMark/>
          </w:tcPr>
          <w:p w14:paraId="74E8504B"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INDICATEURS</w:t>
            </w:r>
          </w:p>
        </w:tc>
        <w:tc>
          <w:tcPr>
            <w:tcW w:w="930" w:type="pct"/>
            <w:shd w:val="clear" w:color="000000" w:fill="A9D08E"/>
            <w:vAlign w:val="center"/>
            <w:hideMark/>
          </w:tcPr>
          <w:p w14:paraId="0F5D43B6"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MODE DE CALCUL DES INDICATEURS</w:t>
            </w:r>
          </w:p>
        </w:tc>
        <w:tc>
          <w:tcPr>
            <w:tcW w:w="928" w:type="pct"/>
            <w:shd w:val="clear" w:color="000000" w:fill="A9D08E"/>
            <w:vAlign w:val="center"/>
            <w:hideMark/>
          </w:tcPr>
          <w:p w14:paraId="07FB5757"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VARIABLES OPERATIONNELLES</w:t>
            </w:r>
          </w:p>
        </w:tc>
        <w:tc>
          <w:tcPr>
            <w:tcW w:w="652" w:type="pct"/>
            <w:shd w:val="clear" w:color="000000" w:fill="A9D08E"/>
            <w:vAlign w:val="center"/>
            <w:hideMark/>
          </w:tcPr>
          <w:p w14:paraId="50525D40"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DEFINITION DES CONCEPTS CLES</w:t>
            </w:r>
          </w:p>
        </w:tc>
        <w:tc>
          <w:tcPr>
            <w:tcW w:w="873" w:type="pct"/>
            <w:shd w:val="clear" w:color="000000" w:fill="A9D08E"/>
            <w:vAlign w:val="center"/>
            <w:hideMark/>
          </w:tcPr>
          <w:p w14:paraId="02D04662"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OBSERVATION</w:t>
            </w:r>
          </w:p>
        </w:tc>
      </w:tr>
      <w:tr w:rsidR="002036B7" w:rsidRPr="00635F62" w14:paraId="2AFA2663" w14:textId="77777777" w:rsidTr="00BC1204">
        <w:trPr>
          <w:trHeight w:val="20"/>
        </w:trPr>
        <w:tc>
          <w:tcPr>
            <w:tcW w:w="562" w:type="pct"/>
            <w:shd w:val="clear" w:color="auto" w:fill="auto"/>
            <w:vAlign w:val="center"/>
            <w:hideMark/>
          </w:tcPr>
          <w:p w14:paraId="3579FA01"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000000" w:fill="FFFFFF"/>
            <w:vAlign w:val="center"/>
            <w:hideMark/>
          </w:tcPr>
          <w:p w14:paraId="2378CE4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Performances des Communes en termes de Gouvernance locale</w:t>
            </w:r>
          </w:p>
        </w:tc>
        <w:tc>
          <w:tcPr>
            <w:tcW w:w="529" w:type="pct"/>
            <w:shd w:val="clear" w:color="auto" w:fill="auto"/>
            <w:vAlign w:val="center"/>
            <w:hideMark/>
          </w:tcPr>
          <w:p w14:paraId="6C8F114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une note IGL supérieure ou égale à 6 pour l'année i</w:t>
            </w:r>
          </w:p>
        </w:tc>
        <w:tc>
          <w:tcPr>
            <w:tcW w:w="930" w:type="pct"/>
            <w:shd w:val="clear" w:color="auto" w:fill="auto"/>
            <w:vAlign w:val="center"/>
            <w:hideMark/>
          </w:tcPr>
          <w:p w14:paraId="4796983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une note IGL supérieure ou égale à 6 pour l'année i=Effectif des Communes ayant une note IGL supérieure ou égale à 6 pour l'année i *100/ Effectif total des Communes ayant une note IGL pour l'année i</w:t>
            </w:r>
          </w:p>
        </w:tc>
        <w:tc>
          <w:tcPr>
            <w:tcW w:w="928" w:type="pct"/>
            <w:shd w:val="clear" w:color="000000" w:fill="FFFFFF"/>
            <w:vAlign w:val="center"/>
            <w:hideMark/>
          </w:tcPr>
          <w:p w14:paraId="7759BA6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une note IGL supérieure ou égale à 6 pour l'année i                                                             - Effectif total des Communes ayant une note IGL pour l'année i</w:t>
            </w:r>
          </w:p>
        </w:tc>
        <w:tc>
          <w:tcPr>
            <w:tcW w:w="652" w:type="pct"/>
            <w:shd w:val="clear" w:color="000000" w:fill="FFFFFF"/>
            <w:vAlign w:val="center"/>
            <w:hideMark/>
          </w:tcPr>
          <w:p w14:paraId="48513ED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Une commune est performante si elle obtient une note IGL supérieure ou égale à 6</w:t>
            </w:r>
          </w:p>
        </w:tc>
        <w:tc>
          <w:tcPr>
            <w:tcW w:w="873" w:type="pct"/>
            <w:shd w:val="clear" w:color="000000" w:fill="FFFFFF"/>
            <w:vAlign w:val="center"/>
            <w:hideMark/>
          </w:tcPr>
          <w:p w14:paraId="6FE478C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La note IGL supérieure ou égale à 6 est équivaut à la réalisation des 75% des recommandations issues de l'exercice de suivi de la note IGL de l'année précédente (pour le cas des Communes ayant déjà effectué l'évaluation IGL). Pour le cas échéant (première évaluation), on se réfère uniquement à la note obtenue.</w:t>
            </w:r>
          </w:p>
        </w:tc>
      </w:tr>
      <w:tr w:rsidR="002036B7" w:rsidRPr="00635F62" w14:paraId="2913B3CF" w14:textId="77777777" w:rsidTr="00BC1204">
        <w:trPr>
          <w:trHeight w:val="20"/>
        </w:trPr>
        <w:tc>
          <w:tcPr>
            <w:tcW w:w="562" w:type="pct"/>
            <w:shd w:val="clear" w:color="auto" w:fill="auto"/>
            <w:vAlign w:val="center"/>
            <w:hideMark/>
          </w:tcPr>
          <w:p w14:paraId="599F7184"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000000" w:fill="FFFFFF"/>
            <w:vAlign w:val="center"/>
            <w:hideMark/>
          </w:tcPr>
          <w:p w14:paraId="54D2AEB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Performances des Communes en termes de Gouvernance locale</w:t>
            </w:r>
          </w:p>
        </w:tc>
        <w:tc>
          <w:tcPr>
            <w:tcW w:w="529" w:type="pct"/>
            <w:shd w:val="clear" w:color="auto" w:fill="auto"/>
            <w:vAlign w:val="center"/>
            <w:hideMark/>
          </w:tcPr>
          <w:p w14:paraId="3185938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Moyenne nationale Note IGL</w:t>
            </w:r>
          </w:p>
        </w:tc>
        <w:tc>
          <w:tcPr>
            <w:tcW w:w="930" w:type="pct"/>
            <w:shd w:val="clear" w:color="auto" w:fill="auto"/>
            <w:vAlign w:val="center"/>
            <w:hideMark/>
          </w:tcPr>
          <w:p w14:paraId="6C7A3F5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Moyenne nationale Note IGL=Somme des notes IGL des Communes pour l'année i *100/ Effectif total des Communes ayant des notes IGL pour l'année i</w:t>
            </w:r>
          </w:p>
        </w:tc>
        <w:tc>
          <w:tcPr>
            <w:tcW w:w="928" w:type="pct"/>
            <w:shd w:val="clear" w:color="auto" w:fill="auto"/>
            <w:vAlign w:val="center"/>
            <w:hideMark/>
          </w:tcPr>
          <w:p w14:paraId="28DDED5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Note IGL des Communes pour l'année i                      Effectif total des Communes ayant des notes IGL pour l'année i</w:t>
            </w:r>
          </w:p>
        </w:tc>
        <w:tc>
          <w:tcPr>
            <w:tcW w:w="652" w:type="pct"/>
            <w:shd w:val="clear" w:color="auto" w:fill="auto"/>
            <w:vAlign w:val="center"/>
            <w:hideMark/>
          </w:tcPr>
          <w:p w14:paraId="64E7D82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La Moyenne nationale Note IGL est la moyenne arithmétique des notes IGL des communes évaluées. Cette valeur permet de évaluer/mesurer l'Indice de confiance dans l’Administration</w:t>
            </w:r>
          </w:p>
        </w:tc>
        <w:tc>
          <w:tcPr>
            <w:tcW w:w="873" w:type="pct"/>
            <w:shd w:val="clear" w:color="auto" w:fill="auto"/>
            <w:vAlign w:val="center"/>
            <w:hideMark/>
          </w:tcPr>
          <w:p w14:paraId="2D5B77E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32EBFF9" w14:textId="77777777" w:rsidTr="00BC1204">
        <w:trPr>
          <w:trHeight w:val="20"/>
        </w:trPr>
        <w:tc>
          <w:tcPr>
            <w:tcW w:w="562" w:type="pct"/>
            <w:vMerge w:val="restart"/>
            <w:shd w:val="clear" w:color="auto" w:fill="auto"/>
            <w:vAlign w:val="center"/>
            <w:hideMark/>
          </w:tcPr>
          <w:p w14:paraId="73E5CC56"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vMerge w:val="restart"/>
            <w:shd w:val="clear" w:color="000000" w:fill="FFFFFF"/>
            <w:vAlign w:val="center"/>
            <w:hideMark/>
          </w:tcPr>
          <w:p w14:paraId="51DCEBA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Performances des Communes en termes de MOC</w:t>
            </w:r>
          </w:p>
        </w:tc>
        <w:tc>
          <w:tcPr>
            <w:tcW w:w="529" w:type="pct"/>
            <w:vMerge w:val="restart"/>
            <w:shd w:val="clear" w:color="auto" w:fill="auto"/>
            <w:vAlign w:val="center"/>
            <w:hideMark/>
          </w:tcPr>
          <w:p w14:paraId="2349AC4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w:t>
            </w:r>
            <w:r w:rsidRPr="00635F62">
              <w:rPr>
                <w:rFonts w:ascii="Georgia" w:eastAsia="Times New Roman" w:hAnsi="Georgia" w:cs="Calibri"/>
                <w:b/>
                <w:bCs/>
                <w:color w:val="FF0000"/>
                <w:sz w:val="18"/>
                <w:szCs w:val="18"/>
                <w:lang w:eastAsia="fr-FR"/>
              </w:rPr>
              <w:t xml:space="preserve"> </w:t>
            </w:r>
            <w:r w:rsidRPr="00635F62">
              <w:rPr>
                <w:rFonts w:ascii="Georgia" w:eastAsia="Times New Roman" w:hAnsi="Georgia" w:cs="Calibri"/>
                <w:color w:val="000000"/>
                <w:sz w:val="18"/>
                <w:szCs w:val="18"/>
                <w:lang w:eastAsia="fr-FR"/>
              </w:rPr>
              <w:t xml:space="preserve">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Maîtrise d’Ouvrage (SMO) pour l'année i</w:t>
            </w:r>
          </w:p>
        </w:tc>
        <w:tc>
          <w:tcPr>
            <w:tcW w:w="930" w:type="pct"/>
            <w:vMerge w:val="restart"/>
            <w:shd w:val="clear" w:color="auto" w:fill="auto"/>
            <w:vAlign w:val="center"/>
            <w:hideMark/>
          </w:tcPr>
          <w:p w14:paraId="5C63F41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Maîtrise d’Ouvrage (SMO) pour l'année i =Effectif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pour l'année i *100/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pour l'année i</w:t>
            </w:r>
          </w:p>
        </w:tc>
        <w:tc>
          <w:tcPr>
            <w:tcW w:w="928" w:type="pct"/>
            <w:vMerge w:val="restart"/>
            <w:shd w:val="clear" w:color="000000" w:fill="FFFFFF"/>
            <w:vAlign w:val="center"/>
            <w:hideMark/>
          </w:tcPr>
          <w:p w14:paraId="0198FD3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pour l'année i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pour l'année i</w:t>
            </w:r>
          </w:p>
        </w:tc>
        <w:tc>
          <w:tcPr>
            <w:tcW w:w="652" w:type="pct"/>
            <w:shd w:val="clear" w:color="000000" w:fill="FFFFFF"/>
            <w:vAlign w:val="center"/>
            <w:hideMark/>
          </w:tcPr>
          <w:p w14:paraId="6535EF8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vMerge w:val="restart"/>
            <w:shd w:val="clear" w:color="000000" w:fill="FFFFFF"/>
            <w:vAlign w:val="center"/>
            <w:hideMark/>
          </w:tcPr>
          <w:p w14:paraId="6134019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score B+ se réfère à la note supérieure ou égale à 80%</w:t>
            </w:r>
          </w:p>
        </w:tc>
      </w:tr>
      <w:tr w:rsidR="002036B7" w:rsidRPr="00635F62" w14:paraId="4BAE50A3" w14:textId="77777777" w:rsidTr="00BC1204">
        <w:trPr>
          <w:trHeight w:val="20"/>
        </w:trPr>
        <w:tc>
          <w:tcPr>
            <w:tcW w:w="562" w:type="pct"/>
            <w:vMerge/>
            <w:vAlign w:val="center"/>
            <w:hideMark/>
          </w:tcPr>
          <w:p w14:paraId="5387886D"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p>
        </w:tc>
        <w:tc>
          <w:tcPr>
            <w:tcW w:w="526" w:type="pct"/>
            <w:vMerge/>
            <w:vAlign w:val="center"/>
            <w:hideMark/>
          </w:tcPr>
          <w:p w14:paraId="118996B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vMerge/>
            <w:vAlign w:val="center"/>
            <w:hideMark/>
          </w:tcPr>
          <w:p w14:paraId="6666B6A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30" w:type="pct"/>
            <w:vMerge/>
            <w:vAlign w:val="center"/>
            <w:hideMark/>
          </w:tcPr>
          <w:p w14:paraId="0D7A00E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28" w:type="pct"/>
            <w:vMerge/>
            <w:vAlign w:val="center"/>
            <w:hideMark/>
          </w:tcPr>
          <w:p w14:paraId="1C818EC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652" w:type="pct"/>
            <w:shd w:val="clear" w:color="000000" w:fill="FFFFFF"/>
            <w:vAlign w:val="center"/>
            <w:hideMark/>
          </w:tcPr>
          <w:p w14:paraId="314E977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Le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est un indicateur essentiel généré par l'outil IGL, qui évalue la performance des communes en termes de maitrise d'ouvrage.</w:t>
            </w:r>
          </w:p>
        </w:tc>
        <w:tc>
          <w:tcPr>
            <w:tcW w:w="873" w:type="pct"/>
            <w:vMerge/>
            <w:vAlign w:val="center"/>
            <w:hideMark/>
          </w:tcPr>
          <w:p w14:paraId="2F14CAA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5997EFB2" w14:textId="77777777" w:rsidTr="00BC1204">
        <w:trPr>
          <w:trHeight w:val="20"/>
        </w:trPr>
        <w:tc>
          <w:tcPr>
            <w:tcW w:w="562" w:type="pct"/>
            <w:shd w:val="clear" w:color="auto" w:fill="auto"/>
            <w:vAlign w:val="center"/>
            <w:hideMark/>
          </w:tcPr>
          <w:p w14:paraId="7958685C"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000000" w:fill="FFFFFF"/>
            <w:vAlign w:val="center"/>
            <w:hideMark/>
          </w:tcPr>
          <w:p w14:paraId="4FA887E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Performances des Communes en termes de MRL</w:t>
            </w:r>
          </w:p>
        </w:tc>
        <w:tc>
          <w:tcPr>
            <w:tcW w:w="529" w:type="pct"/>
            <w:shd w:val="clear" w:color="auto" w:fill="auto"/>
            <w:vAlign w:val="center"/>
            <w:hideMark/>
          </w:tcPr>
          <w:p w14:paraId="0F71C9B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Mobilisation des ressources locales (SMRL) pour l'année i</w:t>
            </w:r>
          </w:p>
        </w:tc>
        <w:tc>
          <w:tcPr>
            <w:tcW w:w="930" w:type="pct"/>
            <w:shd w:val="clear" w:color="auto" w:fill="auto"/>
            <w:vAlign w:val="center"/>
            <w:hideMark/>
          </w:tcPr>
          <w:p w14:paraId="1B531D9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Mobilisation des ressources locales (SMRL) pour l'année </w:t>
            </w:r>
            <w:proofErr w:type="gramStart"/>
            <w:r w:rsidRPr="00635F62">
              <w:rPr>
                <w:rFonts w:ascii="Georgia" w:eastAsia="Times New Roman" w:hAnsi="Georgia" w:cs="Calibri"/>
                <w:color w:val="000000"/>
                <w:sz w:val="18"/>
                <w:szCs w:val="18"/>
                <w:lang w:eastAsia="fr-FR"/>
              </w:rPr>
              <w:t>i  =</w:t>
            </w:r>
            <w:proofErr w:type="gramEnd"/>
            <w:r w:rsidRPr="00635F62">
              <w:rPr>
                <w:rFonts w:ascii="Georgia" w:eastAsia="Times New Roman" w:hAnsi="Georgia" w:cs="Calibri"/>
                <w:color w:val="000000"/>
                <w:sz w:val="18"/>
                <w:szCs w:val="18"/>
                <w:lang w:eastAsia="fr-FR"/>
              </w:rPr>
              <w:t xml:space="preserve">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Mobilisation des ressources pour l'année i *100/Effectif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MR pour l'année i</w:t>
            </w:r>
          </w:p>
        </w:tc>
        <w:tc>
          <w:tcPr>
            <w:tcW w:w="928" w:type="pct"/>
            <w:shd w:val="clear" w:color="000000" w:fill="FFFFFF"/>
            <w:vAlign w:val="center"/>
            <w:hideMark/>
          </w:tcPr>
          <w:p w14:paraId="5EA2C34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Mobilisation des ressources pour l'année i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MR pour l'année i</w:t>
            </w:r>
          </w:p>
        </w:tc>
        <w:tc>
          <w:tcPr>
            <w:tcW w:w="652" w:type="pct"/>
            <w:shd w:val="clear" w:color="000000" w:fill="FFFFFF"/>
            <w:vAlign w:val="center"/>
            <w:hideMark/>
          </w:tcPr>
          <w:p w14:paraId="2529848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Le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MR est un indicateur de l'outil IGL représentant l'appréciation de la performance des communes en matière de ressources locales.</w:t>
            </w:r>
          </w:p>
        </w:tc>
        <w:tc>
          <w:tcPr>
            <w:tcW w:w="873" w:type="pct"/>
            <w:shd w:val="clear" w:color="000000" w:fill="FFFFFF"/>
            <w:vAlign w:val="center"/>
            <w:hideMark/>
          </w:tcPr>
          <w:p w14:paraId="44CF23A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score B+ se réfère à la note supérieure ou égale à 80%</w:t>
            </w:r>
          </w:p>
        </w:tc>
      </w:tr>
      <w:tr w:rsidR="002036B7" w:rsidRPr="00635F62" w14:paraId="1B8B04F8" w14:textId="77777777" w:rsidTr="00BC1204">
        <w:trPr>
          <w:trHeight w:val="20"/>
        </w:trPr>
        <w:tc>
          <w:tcPr>
            <w:tcW w:w="562" w:type="pct"/>
            <w:shd w:val="clear" w:color="auto" w:fill="auto"/>
            <w:vAlign w:val="center"/>
            <w:hideMark/>
          </w:tcPr>
          <w:p w14:paraId="34D36FAF"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lastRenderedPageBreak/>
              <w:t>Gouvernance locale</w:t>
            </w:r>
          </w:p>
        </w:tc>
        <w:tc>
          <w:tcPr>
            <w:tcW w:w="526" w:type="pct"/>
            <w:shd w:val="clear" w:color="000000" w:fill="FFFFFF"/>
            <w:vAlign w:val="center"/>
            <w:hideMark/>
          </w:tcPr>
          <w:p w14:paraId="2E70554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Performances des Communes en termes de CGF</w:t>
            </w:r>
          </w:p>
        </w:tc>
        <w:tc>
          <w:tcPr>
            <w:tcW w:w="529" w:type="pct"/>
            <w:shd w:val="clear" w:color="auto" w:fill="auto"/>
            <w:vAlign w:val="center"/>
            <w:hideMark/>
          </w:tcPr>
          <w:p w14:paraId="26837FC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notées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Comptabilité Gestion Financière SCGF</w:t>
            </w:r>
          </w:p>
        </w:tc>
        <w:tc>
          <w:tcPr>
            <w:tcW w:w="930" w:type="pct"/>
            <w:shd w:val="clear" w:color="auto" w:fill="auto"/>
            <w:vAlign w:val="center"/>
            <w:hideMark/>
          </w:tcPr>
          <w:p w14:paraId="1DCA7F2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notées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Comptabilité Gestion Financière SCGF =Effectif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Comptabilité Gestion Financière SCGF pour l'année i *100/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pour l'année i</w:t>
            </w:r>
          </w:p>
        </w:tc>
        <w:tc>
          <w:tcPr>
            <w:tcW w:w="928" w:type="pct"/>
            <w:shd w:val="clear" w:color="000000" w:fill="FFFFFF"/>
            <w:vAlign w:val="center"/>
            <w:hideMark/>
          </w:tcPr>
          <w:p w14:paraId="7C7C4D3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Comptabilité Gestion Financière SCGF   pour l'année i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MOC pour l'année i</w:t>
            </w:r>
          </w:p>
        </w:tc>
        <w:tc>
          <w:tcPr>
            <w:tcW w:w="652" w:type="pct"/>
            <w:shd w:val="clear" w:color="000000" w:fill="FFFFFF"/>
            <w:vAlign w:val="center"/>
            <w:hideMark/>
          </w:tcPr>
          <w:p w14:paraId="47ABE9B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Le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CGF est un indicateur qui permet d'apprécier la performance des communes en matière de gestion budgétaire et financière</w:t>
            </w:r>
          </w:p>
        </w:tc>
        <w:tc>
          <w:tcPr>
            <w:tcW w:w="873" w:type="pct"/>
            <w:shd w:val="clear" w:color="000000" w:fill="FFFFFF"/>
            <w:vAlign w:val="center"/>
            <w:hideMark/>
          </w:tcPr>
          <w:p w14:paraId="2932C3B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score B+ se réfère à la note supérieure ou égale à 80%</w:t>
            </w:r>
          </w:p>
        </w:tc>
      </w:tr>
      <w:tr w:rsidR="002036B7" w:rsidRPr="00635F62" w14:paraId="52D7A8B3" w14:textId="77777777" w:rsidTr="00BC1204">
        <w:trPr>
          <w:trHeight w:val="20"/>
        </w:trPr>
        <w:tc>
          <w:tcPr>
            <w:tcW w:w="562" w:type="pct"/>
            <w:shd w:val="clear" w:color="auto" w:fill="auto"/>
            <w:vAlign w:val="center"/>
            <w:hideMark/>
          </w:tcPr>
          <w:p w14:paraId="3F4A6E7E"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257DADC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La performance des communes en matière d'état civil</w:t>
            </w:r>
          </w:p>
        </w:tc>
        <w:tc>
          <w:tcPr>
            <w:tcW w:w="529" w:type="pct"/>
            <w:shd w:val="clear" w:color="auto" w:fill="auto"/>
            <w:vAlign w:val="center"/>
            <w:hideMark/>
          </w:tcPr>
          <w:p w14:paraId="61810C4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Etat civil (SEC)</w:t>
            </w:r>
          </w:p>
        </w:tc>
        <w:tc>
          <w:tcPr>
            <w:tcW w:w="930" w:type="pct"/>
            <w:shd w:val="clear" w:color="auto" w:fill="auto"/>
            <w:vAlign w:val="center"/>
            <w:hideMark/>
          </w:tcPr>
          <w:p w14:paraId="2EC1D1B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Etat civil (SEC)=Effectif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Etat civil (SEC) pour l'année i *100/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Etat civil (SEC) pour l'année i</w:t>
            </w:r>
          </w:p>
        </w:tc>
        <w:tc>
          <w:tcPr>
            <w:tcW w:w="928" w:type="pct"/>
            <w:shd w:val="clear" w:color="auto" w:fill="auto"/>
            <w:vAlign w:val="center"/>
            <w:hideMark/>
          </w:tcPr>
          <w:p w14:paraId="5C97615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Etat civil (SEC) pour l'année i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Etat civil (SEC) pour l'année i</w:t>
            </w:r>
          </w:p>
        </w:tc>
        <w:tc>
          <w:tcPr>
            <w:tcW w:w="652" w:type="pct"/>
            <w:shd w:val="clear" w:color="auto" w:fill="auto"/>
            <w:vAlign w:val="center"/>
            <w:hideMark/>
          </w:tcPr>
          <w:p w14:paraId="367D930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Le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EC est un indicateur qui permet d'apprécier la performance des communes en matière d'état civil</w:t>
            </w:r>
          </w:p>
        </w:tc>
        <w:tc>
          <w:tcPr>
            <w:tcW w:w="873" w:type="pct"/>
            <w:shd w:val="clear" w:color="000000" w:fill="FFFFFF"/>
            <w:vAlign w:val="center"/>
            <w:hideMark/>
          </w:tcPr>
          <w:p w14:paraId="0A7F5B2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score B+ se réfère à la note supérieure ou égale à 80%</w:t>
            </w:r>
          </w:p>
        </w:tc>
      </w:tr>
      <w:tr w:rsidR="002036B7" w:rsidRPr="00635F62" w14:paraId="208E4807" w14:textId="77777777" w:rsidTr="00BC1204">
        <w:trPr>
          <w:trHeight w:val="20"/>
        </w:trPr>
        <w:tc>
          <w:tcPr>
            <w:tcW w:w="562" w:type="pct"/>
            <w:shd w:val="clear" w:color="auto" w:fill="auto"/>
            <w:vAlign w:val="center"/>
            <w:hideMark/>
          </w:tcPr>
          <w:p w14:paraId="366FBF35"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7807287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La performance des communes en matière de Gestion des ressources humaines</w:t>
            </w:r>
          </w:p>
        </w:tc>
        <w:tc>
          <w:tcPr>
            <w:tcW w:w="529" w:type="pct"/>
            <w:shd w:val="clear" w:color="auto" w:fill="auto"/>
            <w:vAlign w:val="center"/>
            <w:hideMark/>
          </w:tcPr>
          <w:p w14:paraId="45A88A1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Gestion des ressources humaines (GRH)</w:t>
            </w:r>
          </w:p>
        </w:tc>
        <w:tc>
          <w:tcPr>
            <w:tcW w:w="930" w:type="pct"/>
            <w:shd w:val="clear" w:color="auto" w:fill="auto"/>
            <w:vAlign w:val="center"/>
            <w:hideMark/>
          </w:tcPr>
          <w:p w14:paraId="6DC66FF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notée B+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Gestion des ressources humaines (GRH)=Effectif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Gestion des ressources humaines (GRH) pour l'année i *100/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Gestion des ressources humaines (GRH) pour l'année i</w:t>
            </w:r>
          </w:p>
        </w:tc>
        <w:tc>
          <w:tcPr>
            <w:tcW w:w="928" w:type="pct"/>
            <w:shd w:val="clear" w:color="auto" w:fill="auto"/>
            <w:vAlign w:val="center"/>
            <w:hideMark/>
          </w:tcPr>
          <w:p w14:paraId="70C342B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Effectif des Communes ayant un note B+ (supérieure ou égale à 80%) au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Gestion des ressources humaines (GRH) pour l'année i                                                                                Effectif total des Communes ayant des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Gestion des ressources humaines (GRH) pour l'année i</w:t>
            </w:r>
          </w:p>
        </w:tc>
        <w:tc>
          <w:tcPr>
            <w:tcW w:w="652" w:type="pct"/>
            <w:shd w:val="clear" w:color="auto" w:fill="auto"/>
            <w:vAlign w:val="center"/>
            <w:hideMark/>
          </w:tcPr>
          <w:p w14:paraId="0DE3E9A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Le </w:t>
            </w:r>
            <w:proofErr w:type="spellStart"/>
            <w:r w:rsidRPr="00635F62">
              <w:rPr>
                <w:rFonts w:ascii="Georgia" w:eastAsia="Times New Roman" w:hAnsi="Georgia" w:cs="Calibri"/>
                <w:color w:val="000000"/>
                <w:sz w:val="18"/>
                <w:szCs w:val="18"/>
                <w:lang w:eastAsia="fr-FR"/>
              </w:rPr>
              <w:t>scoring</w:t>
            </w:r>
            <w:proofErr w:type="spellEnd"/>
            <w:r w:rsidRPr="00635F62">
              <w:rPr>
                <w:rFonts w:ascii="Georgia" w:eastAsia="Times New Roman" w:hAnsi="Georgia" w:cs="Calibri"/>
                <w:color w:val="000000"/>
                <w:sz w:val="18"/>
                <w:szCs w:val="18"/>
                <w:lang w:eastAsia="fr-FR"/>
              </w:rPr>
              <w:t xml:space="preserve"> GRH est un indicateur qui permet d'apprécier la performance des communes en matière de Gestion des ressources humaines</w:t>
            </w:r>
          </w:p>
        </w:tc>
        <w:tc>
          <w:tcPr>
            <w:tcW w:w="873" w:type="pct"/>
            <w:shd w:val="clear" w:color="000000" w:fill="FFFFFF"/>
            <w:vAlign w:val="center"/>
            <w:hideMark/>
          </w:tcPr>
          <w:p w14:paraId="7B87B74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score B+ se réfère à la note supérieure ou égale à 80%</w:t>
            </w:r>
          </w:p>
        </w:tc>
      </w:tr>
      <w:tr w:rsidR="002036B7" w:rsidRPr="00635F62" w14:paraId="5EDF6AAB" w14:textId="77777777" w:rsidTr="00BC1204">
        <w:trPr>
          <w:trHeight w:val="20"/>
        </w:trPr>
        <w:tc>
          <w:tcPr>
            <w:tcW w:w="562" w:type="pct"/>
            <w:shd w:val="clear" w:color="auto" w:fill="auto"/>
            <w:vAlign w:val="center"/>
            <w:hideMark/>
          </w:tcPr>
          <w:p w14:paraId="0D6E017F"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503C2D8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Portée de la vulgarisation de l'IGL</w:t>
            </w:r>
          </w:p>
        </w:tc>
        <w:tc>
          <w:tcPr>
            <w:tcW w:w="529" w:type="pct"/>
            <w:shd w:val="clear" w:color="auto" w:fill="auto"/>
            <w:vAlign w:val="center"/>
            <w:hideMark/>
          </w:tcPr>
          <w:p w14:paraId="2FAB0CA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disposant annuellement de valeur IGL accessible en ligne à travers le portail "ODDL"</w:t>
            </w:r>
          </w:p>
        </w:tc>
        <w:tc>
          <w:tcPr>
            <w:tcW w:w="930" w:type="pct"/>
            <w:shd w:val="clear" w:color="auto" w:fill="auto"/>
            <w:vAlign w:val="center"/>
            <w:hideMark/>
          </w:tcPr>
          <w:p w14:paraId="501030A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disposant annuellement de valeur IGL accessible en ligne à travers le portail "ODDL"=Effectif des Communes disposant annuellement de données sur IGL accessibles en ligne à travers le portail « ODDL *100/ Effectif total des Communes disposant annuellement de données sur IGL</w:t>
            </w:r>
          </w:p>
        </w:tc>
        <w:tc>
          <w:tcPr>
            <w:tcW w:w="928" w:type="pct"/>
            <w:shd w:val="clear" w:color="auto" w:fill="auto"/>
            <w:vAlign w:val="center"/>
            <w:hideMark/>
          </w:tcPr>
          <w:p w14:paraId="1826C73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disposant annuellement de données sur IGL accessibles en ligne à travers le portail « ODDL                              Effectif total des Communes disposant annuellement de données sur IGL</w:t>
            </w:r>
          </w:p>
        </w:tc>
        <w:tc>
          <w:tcPr>
            <w:tcW w:w="652" w:type="pct"/>
            <w:shd w:val="clear" w:color="auto" w:fill="auto"/>
            <w:vAlign w:val="center"/>
            <w:hideMark/>
          </w:tcPr>
          <w:p w14:paraId="22B649D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000000" w:fill="FFFFFF"/>
            <w:vAlign w:val="center"/>
            <w:hideMark/>
          </w:tcPr>
          <w:p w14:paraId="463AF54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7E70EFB" w14:textId="77777777" w:rsidTr="00BC1204">
        <w:trPr>
          <w:trHeight w:val="20"/>
        </w:trPr>
        <w:tc>
          <w:tcPr>
            <w:tcW w:w="562" w:type="pct"/>
            <w:shd w:val="clear" w:color="auto" w:fill="auto"/>
            <w:vAlign w:val="center"/>
            <w:hideMark/>
          </w:tcPr>
          <w:p w14:paraId="3C0C1AD5"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000000" w:fill="FFFFFF"/>
            <w:vAlign w:val="center"/>
            <w:hideMark/>
          </w:tcPr>
          <w:p w14:paraId="376E28C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Qualité de service offert des communes</w:t>
            </w:r>
          </w:p>
        </w:tc>
        <w:tc>
          <w:tcPr>
            <w:tcW w:w="529" w:type="pct"/>
            <w:shd w:val="clear" w:color="auto" w:fill="auto"/>
            <w:vAlign w:val="center"/>
            <w:hideMark/>
          </w:tcPr>
          <w:p w14:paraId="181E69F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 communes dont la population est </w:t>
            </w:r>
            <w:r w:rsidRPr="00635F62">
              <w:rPr>
                <w:rFonts w:ascii="Georgia" w:eastAsia="Times New Roman" w:hAnsi="Georgia" w:cs="Calibri"/>
                <w:color w:val="000000"/>
                <w:sz w:val="18"/>
                <w:szCs w:val="18"/>
                <w:lang w:eastAsia="fr-FR"/>
              </w:rPr>
              <w:lastRenderedPageBreak/>
              <w:t>satisfaite des services publics</w:t>
            </w:r>
          </w:p>
        </w:tc>
        <w:tc>
          <w:tcPr>
            <w:tcW w:w="930" w:type="pct"/>
            <w:shd w:val="clear" w:color="auto" w:fill="auto"/>
            <w:vAlign w:val="center"/>
            <w:hideMark/>
          </w:tcPr>
          <w:p w14:paraId="61D46AF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 xml:space="preserve">Pourcentage de communes dont la population est satisfaite des services publics=Effectif des </w:t>
            </w:r>
            <w:r w:rsidRPr="00635F62">
              <w:rPr>
                <w:rFonts w:ascii="Georgia" w:eastAsia="Times New Roman" w:hAnsi="Georgia" w:cs="Calibri"/>
                <w:color w:val="000000"/>
                <w:sz w:val="18"/>
                <w:szCs w:val="18"/>
                <w:lang w:eastAsia="fr-FR"/>
              </w:rPr>
              <w:lastRenderedPageBreak/>
              <w:t>communes dont la population est satisfaite des services publics *100/ Effectif total des Communes</w:t>
            </w:r>
          </w:p>
        </w:tc>
        <w:tc>
          <w:tcPr>
            <w:tcW w:w="928" w:type="pct"/>
            <w:shd w:val="clear" w:color="auto" w:fill="auto"/>
            <w:vAlign w:val="center"/>
            <w:hideMark/>
          </w:tcPr>
          <w:p w14:paraId="2D17989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Niveau de satisfaction des populations des Services publics locaux=satisfait</w:t>
            </w:r>
          </w:p>
        </w:tc>
        <w:tc>
          <w:tcPr>
            <w:tcW w:w="652" w:type="pct"/>
            <w:shd w:val="clear" w:color="000000" w:fill="FFFFFF"/>
            <w:vAlign w:val="center"/>
            <w:hideMark/>
          </w:tcPr>
          <w:p w14:paraId="7D448D3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Les Services publics locaux incluent : l'accueil, les </w:t>
            </w:r>
            <w:r w:rsidRPr="00635F62">
              <w:rPr>
                <w:rFonts w:ascii="Georgia" w:eastAsia="Times New Roman" w:hAnsi="Georgia" w:cs="Calibri"/>
                <w:color w:val="000000"/>
                <w:sz w:val="18"/>
                <w:szCs w:val="18"/>
                <w:lang w:eastAsia="fr-FR"/>
              </w:rPr>
              <w:lastRenderedPageBreak/>
              <w:t>informations et le délai de traitement</w:t>
            </w:r>
          </w:p>
        </w:tc>
        <w:tc>
          <w:tcPr>
            <w:tcW w:w="873" w:type="pct"/>
            <w:shd w:val="clear" w:color="auto" w:fill="auto"/>
            <w:vAlign w:val="center"/>
            <w:hideMark/>
          </w:tcPr>
          <w:p w14:paraId="49E9C2E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 xml:space="preserve">La SLC ou Structure Locale de Concertation représente la population locale. Leurs </w:t>
            </w:r>
            <w:r w:rsidRPr="00635F62">
              <w:rPr>
                <w:rFonts w:ascii="Georgia" w:eastAsia="Times New Roman" w:hAnsi="Georgia" w:cs="Calibri"/>
                <w:color w:val="000000"/>
                <w:sz w:val="18"/>
                <w:szCs w:val="18"/>
                <w:lang w:eastAsia="fr-FR"/>
              </w:rPr>
              <w:lastRenderedPageBreak/>
              <w:t>réponses constituent un reflet de la situation de la population vis à vis des Services publics</w:t>
            </w:r>
          </w:p>
        </w:tc>
      </w:tr>
      <w:tr w:rsidR="002036B7" w:rsidRPr="00635F62" w14:paraId="0F40B101" w14:textId="77777777" w:rsidTr="00BC1204">
        <w:trPr>
          <w:trHeight w:val="20"/>
        </w:trPr>
        <w:tc>
          <w:tcPr>
            <w:tcW w:w="562" w:type="pct"/>
            <w:shd w:val="clear" w:color="auto" w:fill="auto"/>
            <w:vAlign w:val="center"/>
            <w:hideMark/>
          </w:tcPr>
          <w:p w14:paraId="66367EB6"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lastRenderedPageBreak/>
              <w:t>Gouvernance locale</w:t>
            </w:r>
          </w:p>
        </w:tc>
        <w:tc>
          <w:tcPr>
            <w:tcW w:w="526" w:type="pct"/>
            <w:shd w:val="clear" w:color="auto" w:fill="auto"/>
            <w:vAlign w:val="center"/>
            <w:hideMark/>
          </w:tcPr>
          <w:p w14:paraId="53A7E98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d'investissement financé par les recettes propres des communes</w:t>
            </w:r>
          </w:p>
        </w:tc>
        <w:tc>
          <w:tcPr>
            <w:tcW w:w="529" w:type="pct"/>
            <w:shd w:val="clear" w:color="auto" w:fill="auto"/>
            <w:vAlign w:val="center"/>
            <w:hideMark/>
          </w:tcPr>
          <w:p w14:paraId="6BB7B37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 taux d'investissement sur recettes propres supérieur ou égal à 15% pour l'année i</w:t>
            </w:r>
          </w:p>
        </w:tc>
        <w:tc>
          <w:tcPr>
            <w:tcW w:w="930" w:type="pct"/>
            <w:shd w:val="clear" w:color="auto" w:fill="auto"/>
            <w:vAlign w:val="center"/>
            <w:hideMark/>
          </w:tcPr>
          <w:p w14:paraId="016CD5F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 taux d'investissement sur recettes propres supérieur ou égal à 15% pour l'année i=Effectif de communes ayant un taux d'investissement sur recettes propres supérieur ou égal à 15 % pour l'année i *100/ Effectif total des Communes</w:t>
            </w:r>
          </w:p>
        </w:tc>
        <w:tc>
          <w:tcPr>
            <w:tcW w:w="928" w:type="pct"/>
            <w:shd w:val="clear" w:color="000000" w:fill="FFFFFF"/>
            <w:vAlign w:val="center"/>
            <w:hideMark/>
          </w:tcPr>
          <w:p w14:paraId="475A2B3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 communes ayant un taux d'investissement sur recettes propres supérieur ou égal à 15% pour l'année i                                        Effectif total des Communes</w:t>
            </w:r>
          </w:p>
        </w:tc>
        <w:tc>
          <w:tcPr>
            <w:tcW w:w="652" w:type="pct"/>
            <w:shd w:val="clear" w:color="auto" w:fill="auto"/>
            <w:vAlign w:val="center"/>
            <w:hideMark/>
          </w:tcPr>
          <w:p w14:paraId="6937E04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Taux d'investissement sur recettes propres est un indicateur financier qui mesure la part des investissements réalisés par une commune par rapport à ses recettes propres.</w:t>
            </w:r>
          </w:p>
        </w:tc>
        <w:tc>
          <w:tcPr>
            <w:tcW w:w="873" w:type="pct"/>
            <w:shd w:val="clear" w:color="auto" w:fill="auto"/>
            <w:noWrap/>
            <w:vAlign w:val="center"/>
            <w:hideMark/>
          </w:tcPr>
          <w:p w14:paraId="1FA4C5B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0C3C6921" w14:textId="77777777" w:rsidTr="00BC1204">
        <w:trPr>
          <w:trHeight w:val="20"/>
        </w:trPr>
        <w:tc>
          <w:tcPr>
            <w:tcW w:w="562" w:type="pct"/>
            <w:shd w:val="clear" w:color="auto" w:fill="auto"/>
            <w:vAlign w:val="center"/>
            <w:hideMark/>
          </w:tcPr>
          <w:p w14:paraId="3FD33274"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244363B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l'efficacité dans la prévision des budgets</w:t>
            </w:r>
          </w:p>
        </w:tc>
        <w:tc>
          <w:tcPr>
            <w:tcW w:w="529" w:type="pct"/>
            <w:shd w:val="clear" w:color="auto" w:fill="auto"/>
            <w:vAlign w:val="center"/>
            <w:hideMark/>
          </w:tcPr>
          <w:p w14:paraId="4855E3B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 taux d'efficacité dans la prévision des budgets supérieur ou égal à 80 % pour l'année i</w:t>
            </w:r>
          </w:p>
        </w:tc>
        <w:tc>
          <w:tcPr>
            <w:tcW w:w="930" w:type="pct"/>
            <w:shd w:val="clear" w:color="auto" w:fill="auto"/>
            <w:vAlign w:val="center"/>
            <w:hideMark/>
          </w:tcPr>
          <w:p w14:paraId="220E853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 taux d'efficacité dans la prévision des budgets supérieur ou égal à 80 % pour l'année i=Effectif de communes ayant un taux d'efficacité dans la prévision des budgets supérieur ou égal à 80 % pour l'année i *100/ Effectif total des Communes</w:t>
            </w:r>
          </w:p>
        </w:tc>
        <w:tc>
          <w:tcPr>
            <w:tcW w:w="928" w:type="pct"/>
            <w:shd w:val="clear" w:color="000000" w:fill="FFFFFF"/>
            <w:vAlign w:val="center"/>
            <w:hideMark/>
          </w:tcPr>
          <w:p w14:paraId="2219EB6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 communes ayant un taux d'efficacité dans la prévision des budgets supérieur ou égal à 80% pour l'année i                                  Effectif total des Communes</w:t>
            </w:r>
          </w:p>
        </w:tc>
        <w:tc>
          <w:tcPr>
            <w:tcW w:w="652" w:type="pct"/>
            <w:shd w:val="clear" w:color="auto" w:fill="auto"/>
            <w:vAlign w:val="center"/>
            <w:hideMark/>
          </w:tcPr>
          <w:p w14:paraId="5769508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Taux d'efficacité dans la prévision des budgets est un indicateur qui mesure la précision des prévisions budgétaires par rapport à l'exécution réelle des dépenses et des recettes au cours d'une période donnée. Il évalue dans quelle mesure une commune parvient à prévoir correctement ses besoins financiers et à gérer son budget de manière efficace.</w:t>
            </w:r>
          </w:p>
        </w:tc>
        <w:tc>
          <w:tcPr>
            <w:tcW w:w="873" w:type="pct"/>
            <w:shd w:val="clear" w:color="auto" w:fill="auto"/>
            <w:noWrap/>
            <w:vAlign w:val="center"/>
            <w:hideMark/>
          </w:tcPr>
          <w:p w14:paraId="7E43DB2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5B05849F" w14:textId="77777777" w:rsidTr="00BC1204">
        <w:trPr>
          <w:trHeight w:val="20"/>
        </w:trPr>
        <w:tc>
          <w:tcPr>
            <w:tcW w:w="562" w:type="pct"/>
            <w:shd w:val="clear" w:color="auto" w:fill="auto"/>
            <w:vAlign w:val="center"/>
            <w:hideMark/>
          </w:tcPr>
          <w:p w14:paraId="0499BC62"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18DCA13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financière des communes</w:t>
            </w:r>
          </w:p>
        </w:tc>
        <w:tc>
          <w:tcPr>
            <w:tcW w:w="529" w:type="pct"/>
            <w:shd w:val="clear" w:color="auto" w:fill="auto"/>
            <w:vAlign w:val="center"/>
            <w:hideMark/>
          </w:tcPr>
          <w:p w14:paraId="63219BD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 taux de stabilité financière supérieur ou égal à 100 % pour l'année i</w:t>
            </w:r>
          </w:p>
        </w:tc>
        <w:tc>
          <w:tcPr>
            <w:tcW w:w="930" w:type="pct"/>
            <w:shd w:val="clear" w:color="auto" w:fill="auto"/>
            <w:vAlign w:val="center"/>
            <w:hideMark/>
          </w:tcPr>
          <w:p w14:paraId="1B6541C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ayant un taux de stabilité financière supérieur ou égal à 100 % pour l'année i=Effectif de communes ayant un taux de stabilité financière supérieur ou égal à 100 % pour l'année i *100/ Effectif total des Communes</w:t>
            </w:r>
          </w:p>
        </w:tc>
        <w:tc>
          <w:tcPr>
            <w:tcW w:w="928" w:type="pct"/>
            <w:shd w:val="clear" w:color="000000" w:fill="FFFFFF"/>
            <w:vAlign w:val="center"/>
            <w:hideMark/>
          </w:tcPr>
          <w:p w14:paraId="169A517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 communes ayant un taux de stabilité financière supérieur ou égal à 100 % pour l'année i                                                                                                 Effectif total des Communes</w:t>
            </w:r>
          </w:p>
        </w:tc>
        <w:tc>
          <w:tcPr>
            <w:tcW w:w="652" w:type="pct"/>
            <w:shd w:val="clear" w:color="auto" w:fill="auto"/>
            <w:vAlign w:val="center"/>
            <w:hideMark/>
          </w:tcPr>
          <w:p w14:paraId="3934A6C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Taux de stabilité financière est un indicateur qui évalue la solidité et la pérennité de la situation financière d'une commune.</w:t>
            </w:r>
          </w:p>
        </w:tc>
        <w:tc>
          <w:tcPr>
            <w:tcW w:w="873" w:type="pct"/>
            <w:shd w:val="clear" w:color="auto" w:fill="auto"/>
            <w:noWrap/>
            <w:vAlign w:val="center"/>
            <w:hideMark/>
          </w:tcPr>
          <w:p w14:paraId="33EE60D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3696A3B4" w14:textId="77777777" w:rsidTr="00BC1204">
        <w:trPr>
          <w:trHeight w:val="20"/>
        </w:trPr>
        <w:tc>
          <w:tcPr>
            <w:tcW w:w="562" w:type="pct"/>
            <w:shd w:val="clear" w:color="auto" w:fill="auto"/>
            <w:vAlign w:val="center"/>
            <w:hideMark/>
          </w:tcPr>
          <w:p w14:paraId="7DBDBF45"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735FAF6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38D8EDA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réalisation de ressources de commune</w:t>
            </w:r>
          </w:p>
        </w:tc>
        <w:tc>
          <w:tcPr>
            <w:tcW w:w="930" w:type="pct"/>
            <w:shd w:val="clear" w:color="auto" w:fill="auto"/>
            <w:vAlign w:val="center"/>
            <w:hideMark/>
          </w:tcPr>
          <w:p w14:paraId="752183B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Niveau de réalisation de ressources de commune=Montant total de réalisation de recettes sur le fonctionnement*100 / Montant </w:t>
            </w:r>
            <w:r w:rsidRPr="00635F62">
              <w:rPr>
                <w:rFonts w:ascii="Georgia" w:eastAsia="Times New Roman" w:hAnsi="Georgia" w:cs="Calibri"/>
                <w:color w:val="000000"/>
                <w:sz w:val="18"/>
                <w:szCs w:val="18"/>
                <w:lang w:eastAsia="fr-FR"/>
              </w:rPr>
              <w:lastRenderedPageBreak/>
              <w:t>total des recettes prévisionnelles de fonctionnements</w:t>
            </w:r>
          </w:p>
        </w:tc>
        <w:tc>
          <w:tcPr>
            <w:tcW w:w="928" w:type="pct"/>
            <w:shd w:val="clear" w:color="000000" w:fill="FFFFFF"/>
            <w:vAlign w:val="center"/>
            <w:hideMark/>
          </w:tcPr>
          <w:p w14:paraId="21C70D3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 xml:space="preserve">Montant total de réalisation de recettes sur le fonctionnement ; Montant total des recettes </w:t>
            </w:r>
            <w:r w:rsidRPr="00635F62">
              <w:rPr>
                <w:rFonts w:ascii="Georgia" w:eastAsia="Times New Roman" w:hAnsi="Georgia" w:cs="Calibri"/>
                <w:color w:val="000000"/>
                <w:sz w:val="18"/>
                <w:szCs w:val="18"/>
                <w:lang w:eastAsia="fr-FR"/>
              </w:rPr>
              <w:lastRenderedPageBreak/>
              <w:t>prévisionnelles de fonctionnements</w:t>
            </w:r>
          </w:p>
        </w:tc>
        <w:tc>
          <w:tcPr>
            <w:tcW w:w="652" w:type="pct"/>
            <w:shd w:val="clear" w:color="auto" w:fill="auto"/>
            <w:noWrap/>
            <w:vAlign w:val="center"/>
            <w:hideMark/>
          </w:tcPr>
          <w:p w14:paraId="6C5231F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2853EC2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1102FD8C" w14:textId="77777777" w:rsidTr="00BC1204">
        <w:trPr>
          <w:trHeight w:val="20"/>
        </w:trPr>
        <w:tc>
          <w:tcPr>
            <w:tcW w:w="562" w:type="pct"/>
            <w:shd w:val="clear" w:color="auto" w:fill="auto"/>
            <w:vAlign w:val="center"/>
            <w:hideMark/>
          </w:tcPr>
          <w:p w14:paraId="4C12F194"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0DCA95A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la capacité de la commune à mobiliser des ressources et à bénéficier de subventions de l'État</w:t>
            </w:r>
          </w:p>
        </w:tc>
        <w:tc>
          <w:tcPr>
            <w:tcW w:w="529" w:type="pct"/>
            <w:shd w:val="clear" w:color="auto" w:fill="auto"/>
            <w:vAlign w:val="center"/>
            <w:hideMark/>
          </w:tcPr>
          <w:p w14:paraId="2FDC0E2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mobilisation des ressources supérieur ou égal à 80 % pour l'année i</w:t>
            </w:r>
          </w:p>
        </w:tc>
        <w:tc>
          <w:tcPr>
            <w:tcW w:w="930" w:type="pct"/>
            <w:shd w:val="clear" w:color="auto" w:fill="auto"/>
            <w:vAlign w:val="center"/>
            <w:hideMark/>
          </w:tcPr>
          <w:p w14:paraId="2818740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mobilisation des ressources supérieur ou égal à 80 % pour l'année i=Effectif des communes ayant un taux de mobilisation des ressources supérieur ou égal à 80 % pour l'année i *100/ Effectif total des Communes</w:t>
            </w:r>
          </w:p>
        </w:tc>
        <w:tc>
          <w:tcPr>
            <w:tcW w:w="928" w:type="pct"/>
            <w:shd w:val="clear" w:color="000000" w:fill="FFFFFF"/>
            <w:vAlign w:val="center"/>
            <w:hideMark/>
          </w:tcPr>
          <w:p w14:paraId="4D289D7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 taux de mobilisation des ressources supérieur ou égal à 80 % pour l'année i                                                                Effectif total des Communes</w:t>
            </w:r>
          </w:p>
        </w:tc>
        <w:tc>
          <w:tcPr>
            <w:tcW w:w="652" w:type="pct"/>
            <w:shd w:val="clear" w:color="auto" w:fill="auto"/>
            <w:vAlign w:val="center"/>
            <w:hideMark/>
          </w:tcPr>
          <w:p w14:paraId="2A2DC56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réalisation de recettes est égale à la réalisation des Recettes sur le fonctionnement rapporté à la prévision des recettes sur le fonctionnement</w:t>
            </w:r>
          </w:p>
        </w:tc>
        <w:tc>
          <w:tcPr>
            <w:tcW w:w="873" w:type="pct"/>
            <w:shd w:val="clear" w:color="auto" w:fill="auto"/>
            <w:noWrap/>
            <w:vAlign w:val="center"/>
            <w:hideMark/>
          </w:tcPr>
          <w:p w14:paraId="38FB053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63829A4" w14:textId="77777777" w:rsidTr="00BC1204">
        <w:trPr>
          <w:trHeight w:val="20"/>
        </w:trPr>
        <w:tc>
          <w:tcPr>
            <w:tcW w:w="562" w:type="pct"/>
            <w:shd w:val="clear" w:color="auto" w:fill="auto"/>
            <w:vAlign w:val="center"/>
            <w:hideMark/>
          </w:tcPr>
          <w:p w14:paraId="3AC5A80B"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4BCC931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02331B0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Poids des Recettes Fiscales sur les Recettes Propres</w:t>
            </w:r>
          </w:p>
        </w:tc>
        <w:tc>
          <w:tcPr>
            <w:tcW w:w="930" w:type="pct"/>
            <w:shd w:val="clear" w:color="auto" w:fill="auto"/>
            <w:vAlign w:val="center"/>
            <w:hideMark/>
          </w:tcPr>
          <w:p w14:paraId="7DA03D7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Poids des Recettes Fiscales sur les Recettes Propres=Montant total de réalisation de Recettes Fiscales*100 / Montant total de réalisation de Recettes Propres</w:t>
            </w:r>
          </w:p>
        </w:tc>
        <w:tc>
          <w:tcPr>
            <w:tcW w:w="928" w:type="pct"/>
            <w:shd w:val="clear" w:color="000000" w:fill="FFFFFF"/>
            <w:vAlign w:val="center"/>
            <w:hideMark/>
          </w:tcPr>
          <w:p w14:paraId="0764113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Montant total de réalisation de Recettes Fiscales ; Montant total de réalisation de Recettes Propres</w:t>
            </w:r>
          </w:p>
        </w:tc>
        <w:tc>
          <w:tcPr>
            <w:tcW w:w="652" w:type="pct"/>
            <w:shd w:val="clear" w:color="auto" w:fill="auto"/>
            <w:noWrap/>
            <w:vAlign w:val="center"/>
            <w:hideMark/>
          </w:tcPr>
          <w:p w14:paraId="24F496D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564B6A4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40828AB5" w14:textId="77777777" w:rsidTr="00BC1204">
        <w:trPr>
          <w:trHeight w:val="20"/>
        </w:trPr>
        <w:tc>
          <w:tcPr>
            <w:tcW w:w="562" w:type="pct"/>
            <w:shd w:val="clear" w:color="auto" w:fill="auto"/>
            <w:vAlign w:val="center"/>
            <w:hideMark/>
          </w:tcPr>
          <w:p w14:paraId="53A22CE1"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0FA0855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organisationnelle des communes</w:t>
            </w:r>
          </w:p>
        </w:tc>
        <w:tc>
          <w:tcPr>
            <w:tcW w:w="529" w:type="pct"/>
            <w:shd w:val="clear" w:color="auto" w:fill="auto"/>
            <w:vAlign w:val="center"/>
            <w:hideMark/>
          </w:tcPr>
          <w:p w14:paraId="1C2806A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mobilisation auprès du secteur privé et des citoyens supérieur ou égal à 80 %</w:t>
            </w:r>
          </w:p>
        </w:tc>
        <w:tc>
          <w:tcPr>
            <w:tcW w:w="930" w:type="pct"/>
            <w:shd w:val="clear" w:color="auto" w:fill="auto"/>
            <w:vAlign w:val="center"/>
            <w:hideMark/>
          </w:tcPr>
          <w:p w14:paraId="46947A1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mobilisation auprès du secteur privé et des citoyens supérieur ou égal à 80 %=Effectif des communes ayant un taux de mobilisation auprès du secteur privé et des citoyens supérieur ou égal à 80 % pour l'année i *100/ Effectif total des Communes</w:t>
            </w:r>
          </w:p>
        </w:tc>
        <w:tc>
          <w:tcPr>
            <w:tcW w:w="928" w:type="pct"/>
            <w:shd w:val="clear" w:color="auto" w:fill="auto"/>
            <w:vAlign w:val="center"/>
            <w:hideMark/>
          </w:tcPr>
          <w:p w14:paraId="491D293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 taux de mobilisation auprès du secteur privé et des citoyens supérieur ou égal à 80 % pour l'année i                                                          Effectif total des Communes</w:t>
            </w:r>
          </w:p>
        </w:tc>
        <w:tc>
          <w:tcPr>
            <w:tcW w:w="652" w:type="pct"/>
            <w:shd w:val="clear" w:color="auto" w:fill="auto"/>
            <w:vAlign w:val="center"/>
            <w:hideMark/>
          </w:tcPr>
          <w:p w14:paraId="7EC1E5E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Poids des recettes fiscales sur les recettes propres est équivaut à la réalisation de recettes fiscales rapporté à la réalisation de recettes propres</w:t>
            </w:r>
          </w:p>
        </w:tc>
        <w:tc>
          <w:tcPr>
            <w:tcW w:w="873" w:type="pct"/>
            <w:shd w:val="clear" w:color="auto" w:fill="auto"/>
            <w:noWrap/>
            <w:vAlign w:val="center"/>
            <w:hideMark/>
          </w:tcPr>
          <w:p w14:paraId="6F9EF74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169874D9" w14:textId="77777777" w:rsidTr="00BC1204">
        <w:trPr>
          <w:trHeight w:val="20"/>
        </w:trPr>
        <w:tc>
          <w:tcPr>
            <w:tcW w:w="562" w:type="pct"/>
            <w:shd w:val="clear" w:color="auto" w:fill="auto"/>
            <w:vAlign w:val="center"/>
            <w:hideMark/>
          </w:tcPr>
          <w:p w14:paraId="6B102914"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6604D09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61C3E3A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Ratio d'indépendance financière</w:t>
            </w:r>
          </w:p>
        </w:tc>
        <w:tc>
          <w:tcPr>
            <w:tcW w:w="930" w:type="pct"/>
            <w:shd w:val="clear" w:color="auto" w:fill="auto"/>
            <w:vAlign w:val="center"/>
            <w:hideMark/>
          </w:tcPr>
          <w:p w14:paraId="3302A9C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Ratio d'indépendance financière =Montant total de réalisation de Recettes hors subventions *100/ Montant total de réalisation de Recettes Propres</w:t>
            </w:r>
          </w:p>
        </w:tc>
        <w:tc>
          <w:tcPr>
            <w:tcW w:w="928" w:type="pct"/>
            <w:shd w:val="clear" w:color="000000" w:fill="FFFFFF"/>
            <w:vAlign w:val="center"/>
            <w:hideMark/>
          </w:tcPr>
          <w:p w14:paraId="08393FF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Montant total de réalisation de Recettes hors subventions ; Montant total de réalisation de Recettes Propres</w:t>
            </w:r>
          </w:p>
        </w:tc>
        <w:tc>
          <w:tcPr>
            <w:tcW w:w="652" w:type="pct"/>
            <w:shd w:val="clear" w:color="auto" w:fill="auto"/>
            <w:noWrap/>
            <w:vAlign w:val="center"/>
            <w:hideMark/>
          </w:tcPr>
          <w:p w14:paraId="1758CC4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44A204A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7E0B898D" w14:textId="77777777" w:rsidTr="00BC1204">
        <w:trPr>
          <w:trHeight w:val="20"/>
        </w:trPr>
        <w:tc>
          <w:tcPr>
            <w:tcW w:w="562" w:type="pct"/>
            <w:vMerge w:val="restart"/>
            <w:shd w:val="clear" w:color="auto" w:fill="auto"/>
            <w:vAlign w:val="center"/>
            <w:hideMark/>
          </w:tcPr>
          <w:p w14:paraId="71C772EF"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vMerge w:val="restart"/>
            <w:shd w:val="clear" w:color="auto" w:fill="auto"/>
            <w:vAlign w:val="center"/>
            <w:hideMark/>
          </w:tcPr>
          <w:p w14:paraId="0B912D5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d'autonomie financière</w:t>
            </w:r>
          </w:p>
        </w:tc>
        <w:tc>
          <w:tcPr>
            <w:tcW w:w="529" w:type="pct"/>
            <w:vMerge w:val="restart"/>
            <w:shd w:val="clear" w:color="auto" w:fill="auto"/>
            <w:vAlign w:val="center"/>
            <w:hideMark/>
          </w:tcPr>
          <w:p w14:paraId="5B8444E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ratio d'indépendance financière supérieur ou égal à 50 % pour l'année i</w:t>
            </w:r>
          </w:p>
        </w:tc>
        <w:tc>
          <w:tcPr>
            <w:tcW w:w="930" w:type="pct"/>
            <w:vMerge w:val="restart"/>
            <w:shd w:val="clear" w:color="auto" w:fill="auto"/>
            <w:vAlign w:val="center"/>
            <w:hideMark/>
          </w:tcPr>
          <w:p w14:paraId="7C535E6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Pourcentage des communes ayant un ratio d'indépendance financière supérieur ou égal à 50 % pour l'année i=Effectif des communes ayant un ratio d'indépendance financière supérieur ou égal à 50 % pour l'année </w:t>
            </w:r>
            <w:proofErr w:type="gramStart"/>
            <w:r w:rsidRPr="00635F62">
              <w:rPr>
                <w:rFonts w:ascii="Georgia" w:eastAsia="Times New Roman" w:hAnsi="Georgia" w:cs="Calibri"/>
                <w:color w:val="000000"/>
                <w:sz w:val="18"/>
                <w:szCs w:val="18"/>
                <w:lang w:eastAsia="fr-FR"/>
              </w:rPr>
              <w:t>i  *</w:t>
            </w:r>
            <w:proofErr w:type="gramEnd"/>
            <w:r w:rsidRPr="00635F62">
              <w:rPr>
                <w:rFonts w:ascii="Georgia" w:eastAsia="Times New Roman" w:hAnsi="Georgia" w:cs="Calibri"/>
                <w:color w:val="000000"/>
                <w:sz w:val="18"/>
                <w:szCs w:val="18"/>
                <w:lang w:eastAsia="fr-FR"/>
              </w:rPr>
              <w:t>100/ Effectif total des Communes</w:t>
            </w:r>
          </w:p>
        </w:tc>
        <w:tc>
          <w:tcPr>
            <w:tcW w:w="928" w:type="pct"/>
            <w:vMerge w:val="restart"/>
            <w:shd w:val="clear" w:color="auto" w:fill="auto"/>
            <w:vAlign w:val="center"/>
            <w:hideMark/>
          </w:tcPr>
          <w:p w14:paraId="255885A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 ratio d'indépendance financière supérieur ou égal à 50 % pour l'année i                                              Effectif total des Communes</w:t>
            </w:r>
          </w:p>
        </w:tc>
        <w:tc>
          <w:tcPr>
            <w:tcW w:w="652" w:type="pct"/>
            <w:shd w:val="clear" w:color="auto" w:fill="auto"/>
            <w:vAlign w:val="center"/>
            <w:hideMark/>
          </w:tcPr>
          <w:p w14:paraId="500B5BF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d'autonomie financière se réfère à la</w:t>
            </w:r>
          </w:p>
        </w:tc>
        <w:tc>
          <w:tcPr>
            <w:tcW w:w="873" w:type="pct"/>
            <w:shd w:val="clear" w:color="auto" w:fill="auto"/>
            <w:noWrap/>
            <w:vAlign w:val="center"/>
            <w:hideMark/>
          </w:tcPr>
          <w:p w14:paraId="5ED3CA7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4569BF7" w14:textId="77777777" w:rsidTr="00BC1204">
        <w:trPr>
          <w:trHeight w:val="20"/>
        </w:trPr>
        <w:tc>
          <w:tcPr>
            <w:tcW w:w="562" w:type="pct"/>
            <w:vMerge/>
            <w:vAlign w:val="center"/>
            <w:hideMark/>
          </w:tcPr>
          <w:p w14:paraId="1BA8E142"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p>
        </w:tc>
        <w:tc>
          <w:tcPr>
            <w:tcW w:w="526" w:type="pct"/>
            <w:vMerge/>
            <w:vAlign w:val="center"/>
            <w:hideMark/>
          </w:tcPr>
          <w:p w14:paraId="38D65E5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vMerge/>
            <w:vAlign w:val="center"/>
            <w:hideMark/>
          </w:tcPr>
          <w:p w14:paraId="12EE26B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30" w:type="pct"/>
            <w:vMerge/>
            <w:vAlign w:val="center"/>
            <w:hideMark/>
          </w:tcPr>
          <w:p w14:paraId="5551198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28" w:type="pct"/>
            <w:vMerge/>
            <w:vAlign w:val="center"/>
            <w:hideMark/>
          </w:tcPr>
          <w:p w14:paraId="234CDCA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652" w:type="pct"/>
            <w:shd w:val="clear" w:color="auto" w:fill="auto"/>
            <w:vAlign w:val="center"/>
            <w:hideMark/>
          </w:tcPr>
          <w:p w14:paraId="56B8FA1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Réalisation de recettes hors Subvention rapporté à la réalisation de recettes sur le fonctionnement</w:t>
            </w:r>
          </w:p>
        </w:tc>
        <w:tc>
          <w:tcPr>
            <w:tcW w:w="873" w:type="pct"/>
            <w:shd w:val="clear" w:color="auto" w:fill="auto"/>
            <w:noWrap/>
            <w:vAlign w:val="center"/>
            <w:hideMark/>
          </w:tcPr>
          <w:p w14:paraId="115FD40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3C7D47DA" w14:textId="77777777" w:rsidTr="00BC1204">
        <w:trPr>
          <w:trHeight w:val="20"/>
        </w:trPr>
        <w:tc>
          <w:tcPr>
            <w:tcW w:w="562" w:type="pct"/>
            <w:shd w:val="clear" w:color="auto" w:fill="auto"/>
            <w:vAlign w:val="center"/>
            <w:hideMark/>
          </w:tcPr>
          <w:p w14:paraId="29AA10C6"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7C523EB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7A3BE01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Taux de programmation budgétaire</w:t>
            </w:r>
          </w:p>
        </w:tc>
        <w:tc>
          <w:tcPr>
            <w:tcW w:w="930" w:type="pct"/>
            <w:shd w:val="clear" w:color="auto" w:fill="auto"/>
            <w:vAlign w:val="center"/>
            <w:hideMark/>
          </w:tcPr>
          <w:p w14:paraId="660FEF6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Taux de programmation budgétaire=Montant total de réalisation de Dépenses sur le fonctionnement*100 / Montant </w:t>
            </w:r>
            <w:r w:rsidRPr="00635F62">
              <w:rPr>
                <w:rFonts w:ascii="Georgia" w:eastAsia="Times New Roman" w:hAnsi="Georgia" w:cs="Calibri"/>
                <w:color w:val="000000"/>
                <w:sz w:val="18"/>
                <w:szCs w:val="18"/>
                <w:lang w:eastAsia="fr-FR"/>
              </w:rPr>
              <w:lastRenderedPageBreak/>
              <w:t>total de prévision de Dépenses sur le fonctionnement</w:t>
            </w:r>
          </w:p>
        </w:tc>
        <w:tc>
          <w:tcPr>
            <w:tcW w:w="928" w:type="pct"/>
            <w:shd w:val="clear" w:color="000000" w:fill="FFFFFF"/>
            <w:vAlign w:val="center"/>
            <w:hideMark/>
          </w:tcPr>
          <w:p w14:paraId="0C5F11D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Montant total de réalisation de Dépenses sur le fonctionnement ; Montant total de prévision de Dépenses sur le fonctionnement</w:t>
            </w:r>
          </w:p>
        </w:tc>
        <w:tc>
          <w:tcPr>
            <w:tcW w:w="652" w:type="pct"/>
            <w:shd w:val="clear" w:color="auto" w:fill="auto"/>
            <w:noWrap/>
            <w:vAlign w:val="center"/>
            <w:hideMark/>
          </w:tcPr>
          <w:p w14:paraId="363B2D8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174E938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65E122AE" w14:textId="77777777" w:rsidTr="00BC1204">
        <w:trPr>
          <w:trHeight w:val="20"/>
        </w:trPr>
        <w:tc>
          <w:tcPr>
            <w:tcW w:w="562" w:type="pct"/>
            <w:vMerge w:val="restart"/>
            <w:shd w:val="clear" w:color="auto" w:fill="auto"/>
            <w:vAlign w:val="center"/>
            <w:hideMark/>
          </w:tcPr>
          <w:p w14:paraId="2D3A526F"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vMerge w:val="restart"/>
            <w:shd w:val="clear" w:color="auto" w:fill="auto"/>
            <w:vAlign w:val="center"/>
            <w:hideMark/>
          </w:tcPr>
          <w:p w14:paraId="317936C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organisationnelle des communes</w:t>
            </w:r>
          </w:p>
        </w:tc>
        <w:tc>
          <w:tcPr>
            <w:tcW w:w="529" w:type="pct"/>
            <w:vMerge w:val="restart"/>
            <w:shd w:val="clear" w:color="auto" w:fill="auto"/>
            <w:vAlign w:val="center"/>
            <w:hideMark/>
          </w:tcPr>
          <w:p w14:paraId="1238457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programmation budgétaire inférieur ou égal à 100 % pour l'année i</w:t>
            </w:r>
          </w:p>
        </w:tc>
        <w:tc>
          <w:tcPr>
            <w:tcW w:w="930" w:type="pct"/>
            <w:vMerge w:val="restart"/>
            <w:shd w:val="clear" w:color="auto" w:fill="auto"/>
            <w:vAlign w:val="center"/>
            <w:hideMark/>
          </w:tcPr>
          <w:p w14:paraId="13CCDA4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programmation budgétaire inférieur ou égal à 100 % pour l'année i=Effectif des communes ayant un taux de programmation budgétaire supérieur ou égal à 100% pour l'année i *100/ Effectif total des Communes</w:t>
            </w:r>
          </w:p>
        </w:tc>
        <w:tc>
          <w:tcPr>
            <w:tcW w:w="928" w:type="pct"/>
            <w:vMerge w:val="restart"/>
            <w:shd w:val="clear" w:color="000000" w:fill="FFFFFF"/>
            <w:vAlign w:val="center"/>
            <w:hideMark/>
          </w:tcPr>
          <w:p w14:paraId="34DE30D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 taux de programmation budgétaire supérieur ou égal à 100 % pour l'année i                                                                     Effectif total des Communes</w:t>
            </w:r>
          </w:p>
        </w:tc>
        <w:tc>
          <w:tcPr>
            <w:tcW w:w="652" w:type="pct"/>
            <w:vMerge w:val="restart"/>
            <w:shd w:val="clear" w:color="auto" w:fill="auto"/>
            <w:vAlign w:val="center"/>
            <w:hideMark/>
          </w:tcPr>
          <w:p w14:paraId="4B05065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Réalisation sur les Dépenses de Fonctionnement se réfère à la</w:t>
            </w:r>
            <w:r>
              <w:rPr>
                <w:rFonts w:ascii="Georgia" w:eastAsia="Times New Roman" w:hAnsi="Georgia" w:cs="Calibri"/>
                <w:color w:val="000000"/>
                <w:sz w:val="18"/>
                <w:szCs w:val="18"/>
                <w:lang w:eastAsia="fr-FR"/>
              </w:rPr>
              <w:t xml:space="preserve"> </w:t>
            </w:r>
            <w:r w:rsidRPr="00635F62">
              <w:rPr>
                <w:rFonts w:ascii="Georgia" w:eastAsia="Times New Roman" w:hAnsi="Georgia" w:cs="Calibri"/>
                <w:color w:val="000000"/>
                <w:sz w:val="18"/>
                <w:szCs w:val="18"/>
                <w:lang w:eastAsia="fr-FR"/>
              </w:rPr>
              <w:t>réalisation de Dépenses sur le Fonctionnement rapporté à la Prévision de Dépenses sur le Fonctionnement</w:t>
            </w:r>
          </w:p>
        </w:tc>
        <w:tc>
          <w:tcPr>
            <w:tcW w:w="873" w:type="pct"/>
            <w:shd w:val="clear" w:color="auto" w:fill="auto"/>
            <w:noWrap/>
            <w:vAlign w:val="center"/>
            <w:hideMark/>
          </w:tcPr>
          <w:p w14:paraId="1AD12E1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1F0A6F3" w14:textId="77777777" w:rsidTr="00BC1204">
        <w:trPr>
          <w:trHeight w:val="20"/>
        </w:trPr>
        <w:tc>
          <w:tcPr>
            <w:tcW w:w="562" w:type="pct"/>
            <w:vMerge/>
            <w:vAlign w:val="center"/>
            <w:hideMark/>
          </w:tcPr>
          <w:p w14:paraId="08FC6B9E"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p>
        </w:tc>
        <w:tc>
          <w:tcPr>
            <w:tcW w:w="526" w:type="pct"/>
            <w:vMerge/>
            <w:vAlign w:val="center"/>
            <w:hideMark/>
          </w:tcPr>
          <w:p w14:paraId="56B9504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vMerge/>
            <w:vAlign w:val="center"/>
            <w:hideMark/>
          </w:tcPr>
          <w:p w14:paraId="1E49C9B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30" w:type="pct"/>
            <w:vMerge/>
            <w:vAlign w:val="center"/>
            <w:hideMark/>
          </w:tcPr>
          <w:p w14:paraId="0FCCA9C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28" w:type="pct"/>
            <w:vMerge/>
            <w:vAlign w:val="center"/>
            <w:hideMark/>
          </w:tcPr>
          <w:p w14:paraId="399B176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652" w:type="pct"/>
            <w:vMerge/>
            <w:shd w:val="clear" w:color="auto" w:fill="auto"/>
            <w:vAlign w:val="center"/>
            <w:hideMark/>
          </w:tcPr>
          <w:p w14:paraId="0DDCD26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6B7FD3E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42764D13" w14:textId="77777777" w:rsidTr="00BC1204">
        <w:trPr>
          <w:trHeight w:val="20"/>
        </w:trPr>
        <w:tc>
          <w:tcPr>
            <w:tcW w:w="562" w:type="pct"/>
            <w:shd w:val="clear" w:color="auto" w:fill="auto"/>
            <w:vAlign w:val="center"/>
            <w:hideMark/>
          </w:tcPr>
          <w:p w14:paraId="284178F1"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72C9860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3827712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Ratio d'efficience des Ressources Humaines</w:t>
            </w:r>
          </w:p>
        </w:tc>
        <w:tc>
          <w:tcPr>
            <w:tcW w:w="930" w:type="pct"/>
            <w:shd w:val="clear" w:color="auto" w:fill="auto"/>
            <w:vAlign w:val="center"/>
            <w:hideMark/>
          </w:tcPr>
          <w:p w14:paraId="5C2D422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Ratio d'efficience des Ressources Humaines=Montant total de réalisation de Charge du Personnel*100 / Montant total de réalisation de Dépenses sur le fonctionnement</w:t>
            </w:r>
          </w:p>
        </w:tc>
        <w:tc>
          <w:tcPr>
            <w:tcW w:w="928" w:type="pct"/>
            <w:shd w:val="clear" w:color="000000" w:fill="FFFFFF"/>
            <w:vAlign w:val="center"/>
            <w:hideMark/>
          </w:tcPr>
          <w:p w14:paraId="4F4EDF1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Montant total de réalisation de Charge du Personnel ; Montant total de réalisation de Dépenses sur le fonctionnement</w:t>
            </w:r>
          </w:p>
        </w:tc>
        <w:tc>
          <w:tcPr>
            <w:tcW w:w="652" w:type="pct"/>
            <w:shd w:val="clear" w:color="auto" w:fill="auto"/>
            <w:noWrap/>
            <w:vAlign w:val="center"/>
            <w:hideMark/>
          </w:tcPr>
          <w:p w14:paraId="1FD0DC1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2A98C97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7433310" w14:textId="77777777" w:rsidTr="00BC1204">
        <w:trPr>
          <w:trHeight w:val="20"/>
        </w:trPr>
        <w:tc>
          <w:tcPr>
            <w:tcW w:w="562" w:type="pct"/>
            <w:shd w:val="clear" w:color="auto" w:fill="auto"/>
            <w:vAlign w:val="center"/>
            <w:hideMark/>
          </w:tcPr>
          <w:p w14:paraId="4F77A020"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3B46DDB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organisationnelle des communes</w:t>
            </w:r>
          </w:p>
        </w:tc>
        <w:tc>
          <w:tcPr>
            <w:tcW w:w="529" w:type="pct"/>
            <w:shd w:val="clear" w:color="auto" w:fill="auto"/>
            <w:vAlign w:val="center"/>
            <w:hideMark/>
          </w:tcPr>
          <w:p w14:paraId="28B58E0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ratio d'efficience des Ressources Humaines supérieur ou égal à 50% pour l'année i</w:t>
            </w:r>
          </w:p>
        </w:tc>
        <w:tc>
          <w:tcPr>
            <w:tcW w:w="930" w:type="pct"/>
            <w:shd w:val="clear" w:color="auto" w:fill="auto"/>
            <w:vAlign w:val="center"/>
            <w:hideMark/>
          </w:tcPr>
          <w:p w14:paraId="581576E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ratio d'efficacité des Ressources Humaines supérieur ou égal à 50% pour l'année i=Effectif des communes ayant un ratio d'efficacité des Ressources Humaines supérieur ou égal à 50 % pour l'année i *100/ Effectif total des Communes</w:t>
            </w:r>
          </w:p>
        </w:tc>
        <w:tc>
          <w:tcPr>
            <w:tcW w:w="928" w:type="pct"/>
            <w:shd w:val="clear" w:color="000000" w:fill="FFFFFF"/>
            <w:vAlign w:val="center"/>
            <w:hideMark/>
          </w:tcPr>
          <w:p w14:paraId="4A7E909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 ratio d'efficacité des Ressources Humaines supérieur ou égal à 50 % pour l'année i                                          Effectif total des Communes</w:t>
            </w:r>
          </w:p>
        </w:tc>
        <w:tc>
          <w:tcPr>
            <w:tcW w:w="652" w:type="pct"/>
            <w:shd w:val="clear" w:color="auto" w:fill="auto"/>
            <w:vAlign w:val="center"/>
            <w:hideMark/>
          </w:tcPr>
          <w:p w14:paraId="747EF96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Poids du Personnel sur les dépenses de fonctionnement est égale à la réalisation de Charge du Personnel rapporté à la réalisation des dépenses sur le Fonctionnement</w:t>
            </w:r>
          </w:p>
        </w:tc>
        <w:tc>
          <w:tcPr>
            <w:tcW w:w="873" w:type="pct"/>
            <w:shd w:val="clear" w:color="auto" w:fill="auto"/>
            <w:noWrap/>
            <w:vAlign w:val="center"/>
            <w:hideMark/>
          </w:tcPr>
          <w:p w14:paraId="4632D5D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7660D040" w14:textId="77777777" w:rsidTr="00BC1204">
        <w:trPr>
          <w:trHeight w:val="20"/>
        </w:trPr>
        <w:tc>
          <w:tcPr>
            <w:tcW w:w="562" w:type="pct"/>
            <w:shd w:val="clear" w:color="auto" w:fill="auto"/>
            <w:vAlign w:val="center"/>
            <w:hideMark/>
          </w:tcPr>
          <w:p w14:paraId="580AB3FE"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2DA8068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220FD23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Degré d'autonomie financière de la CTD</w:t>
            </w:r>
          </w:p>
        </w:tc>
        <w:tc>
          <w:tcPr>
            <w:tcW w:w="930" w:type="pct"/>
            <w:shd w:val="clear" w:color="auto" w:fill="auto"/>
            <w:vAlign w:val="center"/>
            <w:hideMark/>
          </w:tcPr>
          <w:p w14:paraId="5400925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Degré d'autonomie financière de la CTD=Montant total de réalisation de Dépenses obligatoires *100/ Montant total de réalisation de recettes sur le fonctionnement</w:t>
            </w:r>
          </w:p>
        </w:tc>
        <w:tc>
          <w:tcPr>
            <w:tcW w:w="928" w:type="pct"/>
            <w:shd w:val="clear" w:color="000000" w:fill="FFFFFF"/>
            <w:vAlign w:val="center"/>
            <w:hideMark/>
          </w:tcPr>
          <w:p w14:paraId="34FC332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Montant total de réalisation de Dépenses obligatoires ; Montant total de réalisation de recettes sur le fonctionnement</w:t>
            </w:r>
          </w:p>
        </w:tc>
        <w:tc>
          <w:tcPr>
            <w:tcW w:w="652" w:type="pct"/>
            <w:shd w:val="clear" w:color="auto" w:fill="auto"/>
            <w:noWrap/>
            <w:vAlign w:val="center"/>
            <w:hideMark/>
          </w:tcPr>
          <w:p w14:paraId="4A436DE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17DC381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42ADCC35" w14:textId="77777777" w:rsidTr="00BC1204">
        <w:trPr>
          <w:trHeight w:val="20"/>
        </w:trPr>
        <w:tc>
          <w:tcPr>
            <w:tcW w:w="562" w:type="pct"/>
            <w:vMerge w:val="restart"/>
            <w:shd w:val="clear" w:color="auto" w:fill="auto"/>
            <w:vAlign w:val="center"/>
            <w:hideMark/>
          </w:tcPr>
          <w:p w14:paraId="7B2217CA"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vMerge w:val="restart"/>
            <w:shd w:val="clear" w:color="auto" w:fill="auto"/>
            <w:vAlign w:val="center"/>
            <w:hideMark/>
          </w:tcPr>
          <w:p w14:paraId="65F799F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Degré d'autonomie financière des communes</w:t>
            </w:r>
          </w:p>
        </w:tc>
        <w:tc>
          <w:tcPr>
            <w:tcW w:w="529" w:type="pct"/>
            <w:vMerge w:val="restart"/>
            <w:shd w:val="clear" w:color="auto" w:fill="auto"/>
            <w:vAlign w:val="center"/>
            <w:hideMark/>
          </w:tcPr>
          <w:p w14:paraId="66DB779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d'autonomie financière inférieur ou égal à 50 % pour l'année i</w:t>
            </w:r>
          </w:p>
        </w:tc>
        <w:tc>
          <w:tcPr>
            <w:tcW w:w="930" w:type="pct"/>
            <w:vMerge w:val="restart"/>
            <w:shd w:val="clear" w:color="auto" w:fill="auto"/>
            <w:vAlign w:val="center"/>
            <w:hideMark/>
          </w:tcPr>
          <w:p w14:paraId="0C88DA2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d'autonomie financière inférieur ou égal à 50 % pour l'année i=Effectif des communes ayant un taux d'autonomie financière inférieur ou égal à 50 % pour l'année i *100/ Effectif total des Communes</w:t>
            </w:r>
          </w:p>
        </w:tc>
        <w:tc>
          <w:tcPr>
            <w:tcW w:w="928" w:type="pct"/>
            <w:vMerge w:val="restart"/>
            <w:shd w:val="clear" w:color="000000" w:fill="FFFFFF"/>
            <w:vAlign w:val="center"/>
            <w:hideMark/>
          </w:tcPr>
          <w:p w14:paraId="7925669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un taux d'autonomie financière inférieur ou égal à X % pour l'année i                                                                                 Effectif total des Communes</w:t>
            </w:r>
          </w:p>
        </w:tc>
        <w:tc>
          <w:tcPr>
            <w:tcW w:w="652" w:type="pct"/>
            <w:shd w:val="clear" w:color="auto" w:fill="auto"/>
            <w:vAlign w:val="center"/>
            <w:hideMark/>
          </w:tcPr>
          <w:p w14:paraId="2ADD0AE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Poids des charges obligatoires sur le fonctionnement est égale aux</w:t>
            </w:r>
          </w:p>
        </w:tc>
        <w:tc>
          <w:tcPr>
            <w:tcW w:w="873" w:type="pct"/>
            <w:shd w:val="clear" w:color="auto" w:fill="auto"/>
            <w:noWrap/>
            <w:vAlign w:val="center"/>
            <w:hideMark/>
          </w:tcPr>
          <w:p w14:paraId="7CF79F7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2003B698" w14:textId="77777777" w:rsidTr="00BC1204">
        <w:trPr>
          <w:trHeight w:val="20"/>
        </w:trPr>
        <w:tc>
          <w:tcPr>
            <w:tcW w:w="562" w:type="pct"/>
            <w:vMerge/>
            <w:vAlign w:val="center"/>
            <w:hideMark/>
          </w:tcPr>
          <w:p w14:paraId="207FF2C9"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p>
        </w:tc>
        <w:tc>
          <w:tcPr>
            <w:tcW w:w="526" w:type="pct"/>
            <w:vMerge/>
            <w:vAlign w:val="center"/>
            <w:hideMark/>
          </w:tcPr>
          <w:p w14:paraId="6791C13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vMerge/>
            <w:vAlign w:val="center"/>
            <w:hideMark/>
          </w:tcPr>
          <w:p w14:paraId="5DAE3DA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30" w:type="pct"/>
            <w:vMerge/>
            <w:vAlign w:val="center"/>
            <w:hideMark/>
          </w:tcPr>
          <w:p w14:paraId="00805EB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928" w:type="pct"/>
            <w:vMerge/>
            <w:vAlign w:val="center"/>
            <w:hideMark/>
          </w:tcPr>
          <w:p w14:paraId="57BDDEDB"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652" w:type="pct"/>
            <w:shd w:val="clear" w:color="auto" w:fill="auto"/>
            <w:vAlign w:val="center"/>
            <w:hideMark/>
          </w:tcPr>
          <w:p w14:paraId="2A1B4BA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roofErr w:type="gramStart"/>
            <w:r w:rsidRPr="00635F62">
              <w:rPr>
                <w:rFonts w:ascii="Georgia" w:eastAsia="Times New Roman" w:hAnsi="Georgia" w:cs="Calibri"/>
                <w:color w:val="000000"/>
                <w:sz w:val="18"/>
                <w:szCs w:val="18"/>
                <w:lang w:eastAsia="fr-FR"/>
              </w:rPr>
              <w:t>dépenses</w:t>
            </w:r>
            <w:proofErr w:type="gramEnd"/>
            <w:r w:rsidRPr="00635F62">
              <w:rPr>
                <w:rFonts w:ascii="Georgia" w:eastAsia="Times New Roman" w:hAnsi="Georgia" w:cs="Calibri"/>
                <w:color w:val="000000"/>
                <w:sz w:val="18"/>
                <w:szCs w:val="18"/>
                <w:lang w:eastAsia="fr-FR"/>
              </w:rPr>
              <w:t xml:space="preserve"> obligatoires rapporté à la réalisation des recettes sur le Fonctionnement</w:t>
            </w:r>
          </w:p>
        </w:tc>
        <w:tc>
          <w:tcPr>
            <w:tcW w:w="873" w:type="pct"/>
            <w:shd w:val="clear" w:color="auto" w:fill="auto"/>
            <w:noWrap/>
            <w:vAlign w:val="center"/>
            <w:hideMark/>
          </w:tcPr>
          <w:p w14:paraId="74313D2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3DA69BF0" w14:textId="77777777" w:rsidTr="00BC1204">
        <w:trPr>
          <w:trHeight w:val="20"/>
        </w:trPr>
        <w:tc>
          <w:tcPr>
            <w:tcW w:w="562" w:type="pct"/>
            <w:shd w:val="clear" w:color="auto" w:fill="auto"/>
            <w:vAlign w:val="center"/>
            <w:hideMark/>
          </w:tcPr>
          <w:p w14:paraId="4980AC53"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685FD47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529" w:type="pct"/>
            <w:shd w:val="clear" w:color="auto" w:fill="auto"/>
            <w:vAlign w:val="center"/>
            <w:hideMark/>
          </w:tcPr>
          <w:p w14:paraId="3F6639F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 xml:space="preserve">Taux de réalisation des </w:t>
            </w:r>
            <w:r w:rsidRPr="00635F62">
              <w:rPr>
                <w:rFonts w:ascii="Georgia" w:eastAsia="Times New Roman" w:hAnsi="Georgia" w:cs="Calibri"/>
                <w:color w:val="000000"/>
                <w:sz w:val="18"/>
                <w:szCs w:val="18"/>
                <w:lang w:eastAsia="fr-FR"/>
              </w:rPr>
              <w:lastRenderedPageBreak/>
              <w:t>projets d'investissement</w:t>
            </w:r>
          </w:p>
        </w:tc>
        <w:tc>
          <w:tcPr>
            <w:tcW w:w="930" w:type="pct"/>
            <w:shd w:val="clear" w:color="auto" w:fill="auto"/>
            <w:vAlign w:val="center"/>
            <w:hideMark/>
          </w:tcPr>
          <w:p w14:paraId="4FCB5C3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 xml:space="preserve">Taux de réalisation des projets d'investissement=Montant total des dépenses prévisionnelles </w:t>
            </w:r>
            <w:r w:rsidRPr="00635F62">
              <w:rPr>
                <w:rFonts w:ascii="Georgia" w:eastAsia="Times New Roman" w:hAnsi="Georgia" w:cs="Calibri"/>
                <w:color w:val="000000"/>
                <w:sz w:val="18"/>
                <w:szCs w:val="18"/>
                <w:lang w:eastAsia="fr-FR"/>
              </w:rPr>
              <w:lastRenderedPageBreak/>
              <w:t>d'investissements *100/ Montant total des dépenses réelles d'investissements</w:t>
            </w:r>
          </w:p>
        </w:tc>
        <w:tc>
          <w:tcPr>
            <w:tcW w:w="928" w:type="pct"/>
            <w:shd w:val="clear" w:color="000000" w:fill="FFFFFF"/>
            <w:vAlign w:val="center"/>
            <w:hideMark/>
          </w:tcPr>
          <w:p w14:paraId="479D00B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lastRenderedPageBreak/>
              <w:t xml:space="preserve">Montant total des dépenses prévisionnelles d'investissements </w:t>
            </w:r>
            <w:r w:rsidRPr="00635F62">
              <w:rPr>
                <w:rFonts w:ascii="Georgia" w:eastAsia="Times New Roman" w:hAnsi="Georgia" w:cs="Calibri"/>
                <w:color w:val="000000"/>
                <w:sz w:val="18"/>
                <w:szCs w:val="18"/>
                <w:lang w:eastAsia="fr-FR"/>
              </w:rPr>
              <w:lastRenderedPageBreak/>
              <w:t>; Montant total des dépenses réelles d'investissements</w:t>
            </w:r>
          </w:p>
        </w:tc>
        <w:tc>
          <w:tcPr>
            <w:tcW w:w="652" w:type="pct"/>
            <w:shd w:val="clear" w:color="auto" w:fill="auto"/>
            <w:noWrap/>
            <w:vAlign w:val="center"/>
            <w:hideMark/>
          </w:tcPr>
          <w:p w14:paraId="6D308347"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noWrap/>
            <w:vAlign w:val="center"/>
            <w:hideMark/>
          </w:tcPr>
          <w:p w14:paraId="79293A1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169B8835" w14:textId="77777777" w:rsidTr="00BC1204">
        <w:trPr>
          <w:trHeight w:val="20"/>
        </w:trPr>
        <w:tc>
          <w:tcPr>
            <w:tcW w:w="562" w:type="pct"/>
            <w:shd w:val="clear" w:color="auto" w:fill="auto"/>
            <w:vAlign w:val="center"/>
            <w:hideMark/>
          </w:tcPr>
          <w:p w14:paraId="3BB90B59"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44F521E9"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Efficacité des communes à la conduite des projets d'investissement</w:t>
            </w:r>
          </w:p>
        </w:tc>
        <w:tc>
          <w:tcPr>
            <w:tcW w:w="529" w:type="pct"/>
            <w:shd w:val="clear" w:color="auto" w:fill="auto"/>
            <w:vAlign w:val="center"/>
            <w:hideMark/>
          </w:tcPr>
          <w:p w14:paraId="0B22B38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réalisation des projets d'investissement supérieur ou égal à 50 % pour l'année i</w:t>
            </w:r>
          </w:p>
        </w:tc>
        <w:tc>
          <w:tcPr>
            <w:tcW w:w="930" w:type="pct"/>
            <w:shd w:val="clear" w:color="auto" w:fill="auto"/>
            <w:vAlign w:val="center"/>
            <w:hideMark/>
          </w:tcPr>
          <w:p w14:paraId="4D4EDBC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un taux de réalisation des projets d'investissement supérieur ou égal à 50 % pour l'année i=Efficacité des communes ayant un taux de réalisation des projets d'investissement supérieur ou égal à 50 % pour l'année i *100/ Effectif total des Communes</w:t>
            </w:r>
          </w:p>
        </w:tc>
        <w:tc>
          <w:tcPr>
            <w:tcW w:w="928" w:type="pct"/>
            <w:shd w:val="clear" w:color="000000" w:fill="FFFFFF"/>
            <w:vAlign w:val="center"/>
            <w:hideMark/>
          </w:tcPr>
          <w:p w14:paraId="6552139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Efficacité des communes ayant un taux de réalisation des projets d'investissement supérieur ou égal à 50% pour l'année i                                Effectif total des Communes</w:t>
            </w:r>
          </w:p>
        </w:tc>
        <w:tc>
          <w:tcPr>
            <w:tcW w:w="652" w:type="pct"/>
            <w:shd w:val="clear" w:color="auto" w:fill="auto"/>
            <w:vAlign w:val="center"/>
            <w:hideMark/>
          </w:tcPr>
          <w:p w14:paraId="18C59D4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Réalisation en termes d'Investissement est égale à la réalisation des dépenses sur les investissements rapportés à la prévision des dépenses sur les Investissements</w:t>
            </w:r>
          </w:p>
        </w:tc>
        <w:tc>
          <w:tcPr>
            <w:tcW w:w="873" w:type="pct"/>
            <w:shd w:val="clear" w:color="auto" w:fill="auto"/>
            <w:noWrap/>
            <w:vAlign w:val="center"/>
            <w:hideMark/>
          </w:tcPr>
          <w:p w14:paraId="7030AE4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3BBCCD90" w14:textId="77777777" w:rsidTr="00BC1204">
        <w:trPr>
          <w:trHeight w:val="20"/>
        </w:trPr>
        <w:tc>
          <w:tcPr>
            <w:tcW w:w="562" w:type="pct"/>
            <w:shd w:val="clear" w:color="auto" w:fill="auto"/>
            <w:vAlign w:val="center"/>
            <w:hideMark/>
          </w:tcPr>
          <w:p w14:paraId="67C510A0"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0E1BACE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la contribution de l'Etat au développement des communes</w:t>
            </w:r>
          </w:p>
        </w:tc>
        <w:tc>
          <w:tcPr>
            <w:tcW w:w="529" w:type="pct"/>
            <w:shd w:val="clear" w:color="auto" w:fill="auto"/>
            <w:vAlign w:val="center"/>
            <w:hideMark/>
          </w:tcPr>
          <w:p w14:paraId="56C41D0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Part du budget de l’Etat transféré aux communes</w:t>
            </w:r>
          </w:p>
        </w:tc>
        <w:tc>
          <w:tcPr>
            <w:tcW w:w="930" w:type="pct"/>
            <w:shd w:val="clear" w:color="auto" w:fill="auto"/>
            <w:vAlign w:val="center"/>
            <w:hideMark/>
          </w:tcPr>
          <w:p w14:paraId="3C99DDC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Part du budget de l’Etat transféré aux communes =Montant des subventions transférées aux communes *100 / Montant total des dépenses engagées par l'Etat</w:t>
            </w:r>
          </w:p>
        </w:tc>
        <w:tc>
          <w:tcPr>
            <w:tcW w:w="928" w:type="pct"/>
            <w:shd w:val="clear" w:color="auto" w:fill="auto"/>
            <w:vAlign w:val="center"/>
            <w:hideMark/>
          </w:tcPr>
          <w:p w14:paraId="75DEAF8D"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Montant des subventions transférées aux communes                    Montant total des dépenses engagées par l'Etat</w:t>
            </w:r>
          </w:p>
        </w:tc>
        <w:tc>
          <w:tcPr>
            <w:tcW w:w="652" w:type="pct"/>
            <w:shd w:val="clear" w:color="auto" w:fill="auto"/>
            <w:vAlign w:val="center"/>
            <w:hideMark/>
          </w:tcPr>
          <w:p w14:paraId="7B01A94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 budget transféré aux communes indique les subventions de fonctionnement et d'investissement allouées aux communes et régions.                      Le budget de l'Etat désigne les dépenses et les ressources de l'Etat.</w:t>
            </w:r>
          </w:p>
        </w:tc>
        <w:tc>
          <w:tcPr>
            <w:tcW w:w="873" w:type="pct"/>
            <w:shd w:val="clear" w:color="auto" w:fill="auto"/>
            <w:vAlign w:val="center"/>
            <w:hideMark/>
          </w:tcPr>
          <w:p w14:paraId="09C73EB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09837361" w14:textId="77777777" w:rsidTr="00BC1204">
        <w:trPr>
          <w:trHeight w:val="20"/>
        </w:trPr>
        <w:tc>
          <w:tcPr>
            <w:tcW w:w="562" w:type="pct"/>
            <w:shd w:val="clear" w:color="auto" w:fill="auto"/>
            <w:vAlign w:val="center"/>
            <w:hideMark/>
          </w:tcPr>
          <w:p w14:paraId="5526EF2B"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51B2270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Niveau de réalisation des recettes propres</w:t>
            </w:r>
          </w:p>
        </w:tc>
        <w:tc>
          <w:tcPr>
            <w:tcW w:w="529" w:type="pct"/>
            <w:shd w:val="clear" w:color="auto" w:fill="auto"/>
            <w:vAlign w:val="center"/>
            <w:hideMark/>
          </w:tcPr>
          <w:p w14:paraId="3A8F17C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Taux de réalisation des recettes propres</w:t>
            </w:r>
          </w:p>
        </w:tc>
        <w:tc>
          <w:tcPr>
            <w:tcW w:w="930" w:type="pct"/>
            <w:shd w:val="clear" w:color="auto" w:fill="auto"/>
            <w:vAlign w:val="center"/>
            <w:hideMark/>
          </w:tcPr>
          <w:p w14:paraId="1E90BD0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Taux de réalisation des recettes propres = Montant total de réalisation de Recettes Propres *100/ Montant total de prévision de recette propre</w:t>
            </w:r>
          </w:p>
        </w:tc>
        <w:tc>
          <w:tcPr>
            <w:tcW w:w="928" w:type="pct"/>
            <w:shd w:val="clear" w:color="auto" w:fill="auto"/>
            <w:vAlign w:val="center"/>
            <w:hideMark/>
          </w:tcPr>
          <w:p w14:paraId="31B1BB0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Montant total de réalisation de Recettes Propres ;</w:t>
            </w:r>
            <w:r>
              <w:rPr>
                <w:rFonts w:ascii="Georgia" w:eastAsia="Times New Roman" w:hAnsi="Georgia" w:cs="Calibri"/>
                <w:color w:val="000000"/>
                <w:sz w:val="18"/>
                <w:szCs w:val="18"/>
                <w:lang w:eastAsia="fr-FR"/>
              </w:rPr>
              <w:t xml:space="preserve"> </w:t>
            </w:r>
            <w:r w:rsidRPr="00635F62">
              <w:rPr>
                <w:rFonts w:ascii="Georgia" w:eastAsia="Times New Roman" w:hAnsi="Georgia" w:cs="Calibri"/>
                <w:color w:val="000000"/>
                <w:sz w:val="18"/>
                <w:szCs w:val="18"/>
                <w:lang w:eastAsia="fr-FR"/>
              </w:rPr>
              <w:t>Montant total de prévision de recette propre</w:t>
            </w:r>
          </w:p>
        </w:tc>
        <w:tc>
          <w:tcPr>
            <w:tcW w:w="652" w:type="pct"/>
            <w:shd w:val="clear" w:color="auto" w:fill="auto"/>
            <w:vAlign w:val="center"/>
            <w:hideMark/>
          </w:tcPr>
          <w:p w14:paraId="0A608F1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Les recettes fiscales et non fiscales sont fixées par les textes règlementaire en vigueur. Leurs montants sont observés dans les comptes administratifs i-1</w:t>
            </w:r>
          </w:p>
        </w:tc>
        <w:tc>
          <w:tcPr>
            <w:tcW w:w="873" w:type="pct"/>
            <w:shd w:val="clear" w:color="auto" w:fill="auto"/>
            <w:vAlign w:val="center"/>
            <w:hideMark/>
          </w:tcPr>
          <w:p w14:paraId="355E9B9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Cet indicateur pourrait nous renseigner sur le taux moyen de recouvrement des impôts locaux au niveau des Communes</w:t>
            </w:r>
          </w:p>
        </w:tc>
      </w:tr>
      <w:tr w:rsidR="002036B7" w:rsidRPr="00635F62" w14:paraId="26F59638" w14:textId="77777777" w:rsidTr="00BC1204">
        <w:trPr>
          <w:trHeight w:val="20"/>
        </w:trPr>
        <w:tc>
          <w:tcPr>
            <w:tcW w:w="562" w:type="pct"/>
            <w:shd w:val="clear" w:color="auto" w:fill="auto"/>
            <w:vAlign w:val="center"/>
            <w:hideMark/>
          </w:tcPr>
          <w:p w14:paraId="12EE1853"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5327D19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administrative des communes</w:t>
            </w:r>
          </w:p>
        </w:tc>
        <w:tc>
          <w:tcPr>
            <w:tcW w:w="529" w:type="pct"/>
            <w:shd w:val="clear" w:color="auto" w:fill="auto"/>
            <w:vAlign w:val="center"/>
            <w:hideMark/>
          </w:tcPr>
          <w:p w14:paraId="39A0527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produisant des comptes administratifs conformes aux normes comptables</w:t>
            </w:r>
          </w:p>
        </w:tc>
        <w:tc>
          <w:tcPr>
            <w:tcW w:w="930" w:type="pct"/>
            <w:shd w:val="clear" w:color="auto" w:fill="auto"/>
            <w:vAlign w:val="center"/>
            <w:hideMark/>
          </w:tcPr>
          <w:p w14:paraId="56896DEF"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produisant des comptes administratifs conformes aux normes comptables =Effectif des communes produisant des états financiers conformes aux normes comptables pour l'année i *100 / Effectif total des communes produisant des états financiers pour l'année i</w:t>
            </w:r>
          </w:p>
        </w:tc>
        <w:tc>
          <w:tcPr>
            <w:tcW w:w="928" w:type="pct"/>
            <w:shd w:val="clear" w:color="auto" w:fill="auto"/>
            <w:vAlign w:val="center"/>
            <w:hideMark/>
          </w:tcPr>
          <w:p w14:paraId="714B5292"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produisant des états financiers conformes aux normes comptables pour l'année i                          Effectif total des communes produisant des états financiers pour l'année i</w:t>
            </w:r>
          </w:p>
        </w:tc>
        <w:tc>
          <w:tcPr>
            <w:tcW w:w="652" w:type="pct"/>
            <w:shd w:val="clear" w:color="auto" w:fill="auto"/>
            <w:vAlign w:val="center"/>
            <w:hideMark/>
          </w:tcPr>
          <w:p w14:paraId="71ABA8B1"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Les états financiers sont conformes aux normes comptables lorsqu'ils respectent à la fois les principes comptables universels, les spécificités légales et réglementaires malgaches, et les exigences de transparence et de contrôle</w:t>
            </w:r>
          </w:p>
        </w:tc>
        <w:tc>
          <w:tcPr>
            <w:tcW w:w="873" w:type="pct"/>
            <w:shd w:val="clear" w:color="auto" w:fill="auto"/>
            <w:vAlign w:val="center"/>
            <w:hideMark/>
          </w:tcPr>
          <w:p w14:paraId="61737FA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75D22133" w14:textId="77777777" w:rsidTr="00BC1204">
        <w:trPr>
          <w:trHeight w:val="20"/>
        </w:trPr>
        <w:tc>
          <w:tcPr>
            <w:tcW w:w="562" w:type="pct"/>
            <w:shd w:val="clear" w:color="auto" w:fill="auto"/>
            <w:vAlign w:val="center"/>
            <w:hideMark/>
          </w:tcPr>
          <w:p w14:paraId="3690A6AE"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lastRenderedPageBreak/>
              <w:t>Gouvernance locale</w:t>
            </w:r>
          </w:p>
        </w:tc>
        <w:tc>
          <w:tcPr>
            <w:tcW w:w="526" w:type="pct"/>
            <w:shd w:val="clear" w:color="000000" w:fill="FFFFFF"/>
            <w:vAlign w:val="center"/>
            <w:hideMark/>
          </w:tcPr>
          <w:p w14:paraId="66572DDC"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des communes en matière de maitrise d'ouvrage totale</w:t>
            </w:r>
          </w:p>
        </w:tc>
        <w:tc>
          <w:tcPr>
            <w:tcW w:w="529" w:type="pct"/>
            <w:shd w:val="clear" w:color="auto" w:fill="auto"/>
            <w:vAlign w:val="center"/>
            <w:hideMark/>
          </w:tcPr>
          <w:p w14:paraId="39874A2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assurant la maîtrise d’ouvrage totale des compétences transférées</w:t>
            </w:r>
          </w:p>
        </w:tc>
        <w:tc>
          <w:tcPr>
            <w:tcW w:w="930" w:type="pct"/>
            <w:shd w:val="clear" w:color="auto" w:fill="auto"/>
            <w:vAlign w:val="center"/>
            <w:hideMark/>
          </w:tcPr>
          <w:p w14:paraId="1634B65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 Communes assurant la maîtrise d’ouvrage totale des compétences transférées =Effectif des Communes assurant la maîtrise d’ouvrage totale des compétences transférées pour l'année i *100 / Effectif total des Communes</w:t>
            </w:r>
          </w:p>
        </w:tc>
        <w:tc>
          <w:tcPr>
            <w:tcW w:w="928" w:type="pct"/>
            <w:shd w:val="clear" w:color="000000" w:fill="FFFFFF"/>
            <w:vAlign w:val="center"/>
            <w:hideMark/>
          </w:tcPr>
          <w:p w14:paraId="7F43672A"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assurant la maîtrise d’ouvrage totale des compétences transférées pour l'année i                                                     Effectif total des Communes</w:t>
            </w:r>
          </w:p>
        </w:tc>
        <w:tc>
          <w:tcPr>
            <w:tcW w:w="652" w:type="pct"/>
            <w:shd w:val="clear" w:color="000000" w:fill="FFFFFF"/>
            <w:vAlign w:val="center"/>
            <w:hideMark/>
          </w:tcPr>
          <w:p w14:paraId="57D9AE5E"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La maîtrise d’ouvrage totale des compétences transférées signifie que la commune exerce pleinement l'autorité, la responsabilité et la gestion des compétences qui lui sont déléguées ou transférées par l'Etat</w:t>
            </w:r>
          </w:p>
        </w:tc>
        <w:tc>
          <w:tcPr>
            <w:tcW w:w="873" w:type="pct"/>
            <w:shd w:val="clear" w:color="auto" w:fill="auto"/>
            <w:vAlign w:val="center"/>
            <w:hideMark/>
          </w:tcPr>
          <w:p w14:paraId="55032C95"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r w:rsidR="002036B7" w:rsidRPr="00635F62" w14:paraId="52782333" w14:textId="77777777" w:rsidTr="00BC1204">
        <w:trPr>
          <w:trHeight w:val="20"/>
        </w:trPr>
        <w:tc>
          <w:tcPr>
            <w:tcW w:w="562" w:type="pct"/>
            <w:shd w:val="clear" w:color="auto" w:fill="auto"/>
            <w:vAlign w:val="center"/>
            <w:hideMark/>
          </w:tcPr>
          <w:p w14:paraId="19508FE6" w14:textId="77777777" w:rsidR="002036B7" w:rsidRPr="00635F62" w:rsidRDefault="002036B7" w:rsidP="00BC1204">
            <w:pPr>
              <w:suppressAutoHyphens w:val="0"/>
              <w:autoSpaceDN/>
              <w:spacing w:after="0" w:line="240" w:lineRule="auto"/>
              <w:jc w:val="center"/>
              <w:rPr>
                <w:rFonts w:ascii="Georgia" w:eastAsia="Times New Roman" w:hAnsi="Georgia" w:cs="Calibri"/>
                <w:b/>
                <w:bCs/>
                <w:color w:val="000000"/>
                <w:sz w:val="18"/>
                <w:szCs w:val="18"/>
                <w:lang w:eastAsia="fr-FR"/>
              </w:rPr>
            </w:pPr>
            <w:r w:rsidRPr="00635F62">
              <w:rPr>
                <w:rFonts w:ascii="Georgia" w:eastAsia="Times New Roman" w:hAnsi="Georgia" w:cs="Calibri"/>
                <w:b/>
                <w:bCs/>
                <w:color w:val="000000"/>
                <w:sz w:val="18"/>
                <w:szCs w:val="18"/>
                <w:lang w:eastAsia="fr-FR"/>
              </w:rPr>
              <w:t>Gouvernance locale</w:t>
            </w:r>
          </w:p>
        </w:tc>
        <w:tc>
          <w:tcPr>
            <w:tcW w:w="526" w:type="pct"/>
            <w:shd w:val="clear" w:color="auto" w:fill="auto"/>
            <w:vAlign w:val="center"/>
            <w:hideMark/>
          </w:tcPr>
          <w:p w14:paraId="42AD3376"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Performance organisationnelle des communes</w:t>
            </w:r>
          </w:p>
        </w:tc>
        <w:tc>
          <w:tcPr>
            <w:tcW w:w="529" w:type="pct"/>
            <w:shd w:val="clear" w:color="auto" w:fill="auto"/>
            <w:vAlign w:val="center"/>
            <w:hideMark/>
          </w:tcPr>
          <w:p w14:paraId="099C059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au moins un outil de planification à jour</w:t>
            </w:r>
          </w:p>
        </w:tc>
        <w:tc>
          <w:tcPr>
            <w:tcW w:w="930" w:type="pct"/>
            <w:shd w:val="clear" w:color="auto" w:fill="auto"/>
            <w:vAlign w:val="center"/>
            <w:hideMark/>
          </w:tcPr>
          <w:p w14:paraId="418F55E3"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Pourcentage des Communes ayant au moins un outil de planification à jour=Effectif des Communes ayant au moins un outil de planification à jour   pour l'année i *100 / Effectif total des Communes</w:t>
            </w:r>
          </w:p>
        </w:tc>
        <w:tc>
          <w:tcPr>
            <w:tcW w:w="928" w:type="pct"/>
            <w:shd w:val="clear" w:color="000000" w:fill="FFFFFF"/>
            <w:vAlign w:val="center"/>
            <w:hideMark/>
          </w:tcPr>
          <w:p w14:paraId="32DEABC0"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r w:rsidRPr="00635F62">
              <w:rPr>
                <w:rFonts w:ascii="Georgia" w:eastAsia="Times New Roman" w:hAnsi="Georgia" w:cs="Calibri"/>
                <w:color w:val="000000"/>
                <w:sz w:val="18"/>
                <w:szCs w:val="18"/>
                <w:lang w:eastAsia="fr-FR"/>
              </w:rPr>
              <w:t>Effectif des Communes ayant au moins un outil de planification à jour   pour l'année i *                             Effectif total des Communes</w:t>
            </w:r>
          </w:p>
        </w:tc>
        <w:tc>
          <w:tcPr>
            <w:tcW w:w="652" w:type="pct"/>
            <w:shd w:val="clear" w:color="auto" w:fill="auto"/>
            <w:vAlign w:val="center"/>
            <w:hideMark/>
          </w:tcPr>
          <w:p w14:paraId="236FA6C4"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c>
          <w:tcPr>
            <w:tcW w:w="873" w:type="pct"/>
            <w:shd w:val="clear" w:color="auto" w:fill="auto"/>
            <w:vAlign w:val="center"/>
            <w:hideMark/>
          </w:tcPr>
          <w:p w14:paraId="0D5D61A8" w14:textId="77777777" w:rsidR="002036B7" w:rsidRPr="00635F62" w:rsidRDefault="002036B7" w:rsidP="00BC1204">
            <w:pPr>
              <w:suppressAutoHyphens w:val="0"/>
              <w:autoSpaceDN/>
              <w:spacing w:after="0" w:line="240" w:lineRule="auto"/>
              <w:jc w:val="center"/>
              <w:rPr>
                <w:rFonts w:ascii="Georgia" w:eastAsia="Times New Roman" w:hAnsi="Georgia" w:cs="Calibri"/>
                <w:color w:val="000000"/>
                <w:sz w:val="18"/>
                <w:szCs w:val="18"/>
                <w:lang w:eastAsia="fr-FR"/>
              </w:rPr>
            </w:pPr>
          </w:p>
        </w:tc>
      </w:tr>
    </w:tbl>
    <w:p w14:paraId="3BFD9A3A" w14:textId="77777777" w:rsidR="009C4AAC" w:rsidRDefault="009C4AAC"/>
    <w:sectPr w:rsidR="009C4AAC" w:rsidSect="002036B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B7"/>
    <w:rsid w:val="002036B7"/>
    <w:rsid w:val="009C4AAC"/>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4989C"/>
  <w15:chartTrackingRefBased/>
  <w15:docId w15:val="{2808304F-54BC-495D-802D-8515EC09F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001"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6B7"/>
    <w:pPr>
      <w:suppressAutoHyphens/>
      <w:autoSpaceDN w:val="0"/>
      <w:spacing w:line="247" w:lineRule="auto"/>
    </w:pPr>
    <w:rPr>
      <w:rFonts w:ascii="Calibri" w:eastAsia="Calibri" w:hAnsi="Calibri" w:cs="Vrinda"/>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au">
    <w:name w:val="Tableau"/>
    <w:basedOn w:val="Normal"/>
    <w:link w:val="TableauChar"/>
    <w:qFormat/>
    <w:rsid w:val="002036B7"/>
    <w:pPr>
      <w:spacing w:line="360" w:lineRule="auto"/>
      <w:jc w:val="both"/>
    </w:pPr>
    <w:rPr>
      <w:rFonts w:ascii="Georgia" w:hAnsi="Georgia"/>
      <w:b/>
      <w:bCs/>
      <w:sz w:val="24"/>
      <w:szCs w:val="24"/>
    </w:rPr>
  </w:style>
  <w:style w:type="character" w:customStyle="1" w:styleId="TableauChar">
    <w:name w:val="Tableau Char"/>
    <w:basedOn w:val="DefaultParagraphFont"/>
    <w:link w:val="Tableau"/>
    <w:rsid w:val="002036B7"/>
    <w:rPr>
      <w:rFonts w:ascii="Georgia" w:eastAsia="Calibri" w:hAnsi="Georgia" w:cs="Vrinda"/>
      <w:b/>
      <w:bCs/>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20C6A-A082-4CC2-98E6-9A6B30F03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5995</Words>
  <Characters>32978</Characters>
  <Application>Microsoft Office Word</Application>
  <DocSecurity>0</DocSecurity>
  <Lines>274</Lines>
  <Paragraphs>77</Paragraphs>
  <ScaleCrop>false</ScaleCrop>
  <Company/>
  <LinksUpToDate>false</LinksUpToDate>
  <CharactersWithSpaces>38896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dc:creator>
  <cp:keywords/>
  <dc:description/>
  <cp:lastModifiedBy>Jhonny</cp:lastModifiedBy>
  <cp:revision>1</cp:revision>
  <dcterms:created xsi:type="dcterms:W3CDTF">2025-05-15T09:33:00Z</dcterms:created>
  <dcterms:modified xsi:type="dcterms:W3CDTF">2025-05-15T09:35:00Z</dcterms:modified>
</cp:coreProperties>
</file>