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44"/>
          <w:szCs w:val="44"/>
        </w:rPr>
        <w:t xml:space="preserve">Bug Report</w:t>
      </w:r>
    </w:p>
    <w:p>
      <w:pPr>
        <w:spacing w:after="40"/>
      </w:pPr>
      <w:r>
        <w:rPr>
          <w:color w:val="444444"/>
          <w:sz w:val="24"/>
          <w:szCs w:val="24"/>
        </w:rPr>
        <w:t xml:space="preserve">BUG-01 — Shopware 6 Storefront</w:t>
      </w:r>
    </w:p>
    <w:p>
      <w:pPr>
        <w:spacing w:after="260"/>
      </w:pPr>
      <w:r>
        <w:rPr>
          <w:i/>
          <w:iCs/>
          <w:color w:val="555555"/>
          <w:sz w:val="18"/>
          <w:szCs w:val="18"/>
        </w:rPr>
        <w:t xml:space="preserve">QA / Automation Tester Intern — Practical Exercise — Solution25   |   Prepared by: Anduena   |   September 2, 2026</w:t>
      </w:r>
    </w:p>
    <w:p>
      <w:pPr>
        <w:pStyle w:val="Heading1"/>
        <w:spacing w:after="140" w:before="320"/>
      </w:pPr>
      <w:r>
        <w:rPr>
          <w:color w:val="1F4E79"/>
        </w:rPr>
        <w:t xml:space="preserve">Title</w:t>
      </w:r>
    </w:p>
    <w:p>
      <w:pPr>
        <w:spacing w:after="100"/>
      </w:pPr>
      <w:r>
        <w:rPr>
          <w:sz w:val="20"/>
          <w:szCs w:val="20"/>
        </w:rPr>
        <w:t xml:space="preserve">“Add to cart” endpoint returns a success (HTTP 200) response and no visible error when the quantity=0 constraint is bypassed client-side</w:t>
      </w:r>
    </w:p>
    <w:p>
      <w:pPr>
        <w:pStyle w:val="Heading1"/>
        <w:spacing w:after="140" w:before="320"/>
      </w:pPr>
      <w:r>
        <w:rPr>
          <w:color w:val="1F4E79"/>
        </w:rPr>
        <w:t xml:space="preserve">Environment</w:t>
      </w:r>
    </w:p>
    <w:tbl>
      <w:tblPr>
        <w:tblW w:type="dxa" w:w="9500"/>
        <w:tblBorders>
          <w:top w:val="single" w:color="AAAAAA" w:sz="4"/>
          <w:left w:val="single" w:color="AAAAAA" w:sz="4"/>
          <w:bottom w:val="single" w:color="AAAAAA" w:sz="4"/>
          <w:right w:val="single" w:color="AAAAAA" w:sz="4"/>
          <w:insideH w:val="single" w:color="CCCCCC" w:sz="4"/>
          <w:insideV w:val="single" w:color="CCCCCC" w:sz="4"/>
        </w:tblBorders>
      </w:tblPr>
      <w:tblGrid>
        <w:gridCol w:w="2600"/>
        <w:gridCol w:w="6900"/>
      </w:tblGrid>
      <w:tr>
        <w:tc>
          <w:tcPr>
            <w:tcW w:type="dxa" w:w="2600"/>
            <w:shd w:fill="F2F6FA" w:val="clear"/>
            <w:tcMar>
              <w:top w:type="dxa" w:w="100"/>
              <w:left w:type="dxa" w:w="120"/>
              <w:bottom w:type="dxa" w:w="100"/>
              <w:right w:type="dxa" w:w="120"/>
            </w:tcMar>
            <w:vAlign w:val="center"/>
          </w:tcPr>
          <w:p>
            <w:r>
              <w:rPr>
                <w:b/>
                <w:bCs/>
                <w:sz w:val="20"/>
                <w:szCs w:val="20"/>
              </w:rPr>
              <w:t xml:space="preserve">Application</w:t>
            </w:r>
          </w:p>
        </w:tc>
        <w:tc>
          <w:tcPr>
            <w:tcW w:type="dxa" w:w="6900"/>
            <w:tcMar>
              <w:top w:type="dxa" w:w="100"/>
              <w:left w:type="dxa" w:w="120"/>
              <w:bottom w:type="dxa" w:w="100"/>
              <w:right w:type="dxa" w:w="120"/>
            </w:tcMar>
            <w:vAlign w:val="center"/>
          </w:tcPr>
          <w:p>
            <w:r>
              <w:rPr>
                <w:sz w:val="20"/>
                <w:szCs w:val="20"/>
              </w:rPr>
              <w:t xml:space="preserve">Shopware 6 Demo Store — Solution25</w:t>
            </w:r>
          </w:p>
        </w:tc>
      </w:tr>
      <w:tr>
        <w:tc>
          <w:tcPr>
            <w:tcW w:type="dxa" w:w="2600"/>
            <w:shd w:fill="F2F6FA" w:val="clear"/>
            <w:tcMar>
              <w:top w:type="dxa" w:w="100"/>
              <w:left w:type="dxa" w:w="120"/>
              <w:bottom w:type="dxa" w:w="100"/>
              <w:right w:type="dxa" w:w="120"/>
            </w:tcMar>
            <w:vAlign w:val="center"/>
          </w:tcPr>
          <w:p>
            <w:r>
              <w:rPr>
                <w:b/>
                <w:bCs/>
                <w:sz w:val="20"/>
                <w:szCs w:val="20"/>
              </w:rPr>
              <w:t xml:space="preserve">URL</w:t>
            </w:r>
          </w:p>
        </w:tc>
        <w:tc>
          <w:tcPr>
            <w:tcW w:type="dxa" w:w="6900"/>
            <w:tcMar>
              <w:top w:type="dxa" w:w="100"/>
              <w:left w:type="dxa" w:w="120"/>
              <w:bottom w:type="dxa" w:w="100"/>
              <w:right w:type="dxa" w:w="120"/>
            </w:tcMar>
            <w:vAlign w:val="center"/>
          </w:tcPr>
          <w:p>
            <w:r>
              <w:rPr>
                <w:sz w:val="20"/>
                <w:szCs w:val="20"/>
              </w:rPr>
              <w:t xml:space="preserve">https://www.shopware6-demo.development-s25.com/Demo-Produkt/SW10001 (reproducible on any product detail page)</w:t>
            </w:r>
          </w:p>
        </w:tc>
      </w:tr>
      <w:tr>
        <w:tc>
          <w:tcPr>
            <w:tcW w:type="dxa" w:w="2600"/>
            <w:shd w:fill="F2F6FA" w:val="clear"/>
            <w:tcMar>
              <w:top w:type="dxa" w:w="100"/>
              <w:left w:type="dxa" w:w="120"/>
              <w:bottom w:type="dxa" w:w="100"/>
              <w:right w:type="dxa" w:w="120"/>
            </w:tcMar>
            <w:vAlign w:val="center"/>
          </w:tcPr>
          <w:p>
            <w:r>
              <w:rPr>
                <w:b/>
                <w:bCs/>
                <w:sz w:val="20"/>
                <w:szCs w:val="20"/>
              </w:rPr>
              <w:t xml:space="preserve">Endpoint</w:t>
            </w:r>
          </w:p>
        </w:tc>
        <w:tc>
          <w:tcPr>
            <w:tcW w:type="dxa" w:w="6900"/>
            <w:tcMar>
              <w:top w:type="dxa" w:w="100"/>
              <w:left w:type="dxa" w:w="120"/>
              <w:bottom w:type="dxa" w:w="100"/>
              <w:right w:type="dxa" w:w="120"/>
            </w:tcMar>
            <w:vAlign w:val="center"/>
          </w:tcPr>
          <w:p>
            <w:r>
              <w:rPr>
                <w:sz w:val="20"/>
                <w:szCs w:val="20"/>
              </w:rPr>
              <w:t xml:space="preserve">POST /checkout/line-item/add</w:t>
            </w:r>
          </w:p>
        </w:tc>
      </w:tr>
      <w:tr>
        <w:tc>
          <w:tcPr>
            <w:tcW w:type="dxa" w:w="2600"/>
            <w:shd w:fill="F2F6FA" w:val="clear"/>
            <w:tcMar>
              <w:top w:type="dxa" w:w="100"/>
              <w:left w:type="dxa" w:w="120"/>
              <w:bottom w:type="dxa" w:w="100"/>
              <w:right w:type="dxa" w:w="120"/>
            </w:tcMar>
            <w:vAlign w:val="center"/>
          </w:tcPr>
          <w:p>
            <w:r>
              <w:rPr>
                <w:b/>
                <w:bCs/>
                <w:sz w:val="20"/>
                <w:szCs w:val="20"/>
              </w:rPr>
              <w:t xml:space="preserve">Browser</w:t>
            </w:r>
          </w:p>
        </w:tc>
        <w:tc>
          <w:tcPr>
            <w:tcW w:type="dxa" w:w="6900"/>
            <w:tcMar>
              <w:top w:type="dxa" w:w="100"/>
              <w:left w:type="dxa" w:w="120"/>
              <w:bottom w:type="dxa" w:w="100"/>
              <w:right w:type="dxa" w:w="120"/>
            </w:tcMar>
            <w:vAlign w:val="center"/>
          </w:tcPr>
          <w:p>
            <w:r>
              <w:rPr>
                <w:sz w:val="20"/>
                <w:szCs w:val="20"/>
              </w:rPr>
              <w:t xml:space="preserve">Chrome (latest, desktop) — reproduction uses the DevTools Console / a scripted request; see Steps</w:t>
            </w:r>
          </w:p>
        </w:tc>
      </w:tr>
      <w:tr>
        <w:tc>
          <w:tcPr>
            <w:tcW w:type="dxa" w:w="2600"/>
            <w:shd w:fill="F2F6FA" w:val="clear"/>
            <w:tcMar>
              <w:top w:type="dxa" w:w="100"/>
              <w:left w:type="dxa" w:w="120"/>
              <w:bottom w:type="dxa" w:w="100"/>
              <w:right w:type="dxa" w:w="120"/>
            </w:tcMar>
            <w:vAlign w:val="center"/>
          </w:tcPr>
          <w:p>
            <w:r>
              <w:rPr>
                <w:b/>
                <w:bCs/>
                <w:sz w:val="20"/>
                <w:szCs w:val="20"/>
              </w:rPr>
              <w:t xml:space="preserve">OS</w:t>
            </w:r>
          </w:p>
        </w:tc>
        <w:tc>
          <w:tcPr>
            <w:tcW w:type="dxa" w:w="6900"/>
            <w:tcMar>
              <w:top w:type="dxa" w:w="100"/>
              <w:left w:type="dxa" w:w="120"/>
              <w:bottom w:type="dxa" w:w="100"/>
              <w:right w:type="dxa" w:w="120"/>
            </w:tcMar>
            <w:vAlign w:val="center"/>
          </w:tcPr>
          <w:p>
            <w:r>
              <w:rPr>
                <w:sz w:val="20"/>
                <w:szCs w:val="20"/>
              </w:rPr>
              <w:t xml:space="preserve">Cross-platform (server-side / HTTP-level behaviour, not OS-specific)</w:t>
            </w:r>
          </w:p>
        </w:tc>
      </w:tr>
      <w:tr>
        <w:tc>
          <w:tcPr>
            <w:tcW w:type="dxa" w:w="2600"/>
            <w:shd w:fill="F2F6FA" w:val="clear"/>
            <w:tcMar>
              <w:top w:type="dxa" w:w="100"/>
              <w:left w:type="dxa" w:w="120"/>
              <w:bottom w:type="dxa" w:w="100"/>
              <w:right w:type="dxa" w:w="120"/>
            </w:tcMar>
            <w:vAlign w:val="center"/>
          </w:tcPr>
          <w:p>
            <w:r>
              <w:rPr>
                <w:b/>
                <w:bCs/>
                <w:sz w:val="20"/>
                <w:szCs w:val="20"/>
              </w:rPr>
              <w:t xml:space="preserve">Date observed</w:t>
            </w:r>
          </w:p>
        </w:tc>
        <w:tc>
          <w:tcPr>
            <w:tcW w:type="dxa" w:w="6900"/>
            <w:tcMar>
              <w:top w:type="dxa" w:w="100"/>
              <w:left w:type="dxa" w:w="120"/>
              <w:bottom w:type="dxa" w:w="100"/>
              <w:right w:type="dxa" w:w="120"/>
            </w:tcMar>
            <w:vAlign w:val="center"/>
          </w:tcPr>
          <w:p>
            <w:r>
              <w:rPr>
                <w:sz w:val="20"/>
                <w:szCs w:val="20"/>
              </w:rPr>
              <w:t xml:space="preserve">September 2, 2026</w:t>
            </w:r>
          </w:p>
        </w:tc>
      </w:tr>
    </w:tbl>
    <w:p>
      <w:pPr>
        <w:pStyle w:val="Heading1"/>
        <w:spacing w:after="140" w:before="320"/>
      </w:pPr>
      <w:r>
        <w:rPr>
          <w:color w:val="1F4E79"/>
        </w:rPr>
        <w:t xml:space="preserve">Steps to Reproduce</w:t>
      </w:r>
    </w:p>
    <w:p>
      <w:pPr>
        <w:pStyle w:val="Heading2"/>
        <w:spacing w:after="100" w:before="200"/>
      </w:pPr>
      <w:r>
        <w:rPr>
          <w:color w:val="1F4E79"/>
          <w:sz w:val="22"/>
          <w:szCs w:val="22"/>
        </w:rPr>
        <w:t xml:space="preserve">Part A — confirms the normal UI control works correctly</w:t>
      </w:r>
    </w:p>
    <w:p>
      <w:pPr>
        <w:spacing w:after="60"/>
      </w:pPr>
      <w:r>
        <w:rPr>
          <w:sz w:val="20"/>
          <w:szCs w:val="20"/>
        </w:rPr>
        <w:t xml:space="preserve">1. Open a product detail page, e.g. /Demo-Produkt/SW10001.</w:t>
      </w:r>
    </w:p>
    <w:p>
      <w:pPr>
        <w:spacing w:after="60"/>
      </w:pPr>
      <w:r>
        <w:rPr>
          <w:sz w:val="20"/>
          <w:szCs w:val="20"/>
        </w:rPr>
        <w:t xml:space="preserve">2. Click into the quantity field and type “0” to replace the default value of 1.</w:t>
      </w:r>
    </w:p>
    <w:p>
      <w:pPr>
        <w:spacing w:after="60"/>
      </w:pPr>
      <w:r>
        <w:rPr>
          <w:sz w:val="20"/>
          <w:szCs w:val="20"/>
        </w:rPr>
        <w:t xml:space="preserve">3. Click “Add to cart” (In den Warenkorb) with a real mouse click.</w:t>
      </w:r>
    </w:p>
    <w:p>
      <w:pPr>
        <w:spacing w:after="160"/>
      </w:pPr>
      <w:r>
        <w:rPr>
          <w:i/>
          <w:iCs/>
          <w:color w:val="555555"/>
          <w:sz w:val="20"/>
          <w:szCs w:val="20"/>
        </w:rPr>
        <w:t xml:space="preserve">Result of Part A: the browser's native HTML5 validation correctly blocks the submit and shows the tooltip “Value must be greater than or equal to 1.” No item is added. This part works as intended.</w:t>
      </w:r>
    </w:p>
    <w:p>
      <w:pPr>
        <w:pStyle w:val="Heading2"/>
        <w:spacing w:after="100" w:before="200"/>
      </w:pPr>
      <w:r>
        <w:rPr>
          <w:color w:val="1F4E79"/>
          <w:sz w:val="22"/>
          <w:szCs w:val="22"/>
        </w:rPr>
        <w:t xml:space="preserve">Part B — the actual defect</w:t>
      </w:r>
    </w:p>
    <w:p>
      <w:pPr>
        <w:spacing w:after="60"/>
      </w:pPr>
      <w:r>
        <w:rPr>
          <w:sz w:val="20"/>
          <w:szCs w:val="20"/>
        </w:rPr>
        <w:t xml:space="preserve">1. On the same page, open the DevTools Console (or use any HTTP client / an automated test script such as Playwright/Selenium).</w:t>
      </w:r>
    </w:p>
    <w:p>
      <w:pPr>
        <w:spacing w:after="60"/>
      </w:pPr>
      <w:r>
        <w:rPr>
          <w:sz w:val="20"/>
          <w:szCs w:val="20"/>
        </w:rPr>
        <w:t xml:space="preserve">2. Set the quantity input's value to “0” programmatically and submit the Add-to-cart form without a trusted user click — e.g. `input.value = '0'` followed by `submitButton.click()` from the console, or POST directly to the endpoint below with quantity=0.</w:t>
      </w:r>
    </w:p>
    <w:p>
      <w:pPr>
        <w:spacing w:after="60"/>
      </w:pPr>
      <w:r>
        <w:rPr>
          <w:sz w:val="20"/>
          <w:szCs w:val="20"/>
        </w:rPr>
        <w:t xml:space="preserve">3. Observe the HTTP response status and body, then check the cart contents (GET /checkout/cart).</w:t>
      </w:r>
    </w:p>
    <w:tbl>
      <w:tblPr>
        <w:tblW w:type="dxa" w:w="9500"/>
        <w:tblBorders>
          <w:top w:val="single" w:color="CCCCCC" w:sz="4"/>
          <w:left w:val="single" w:color="CCCCCC" w:sz="4"/>
          <w:bottom w:val="single" w:color="CCCCCC" w:sz="4"/>
          <w:right w:val="single" w:color="CCCCCC" w:sz="4"/>
          <w:insideH w:val="none"/>
          <w:insideV w:val="none"/>
        </w:tblBorders>
      </w:tblPr>
      <w:tblGrid>
        <w:gridCol w:w="100"/>
      </w:tblGrid>
      <w:tr>
        <w:tc>
          <w:tcPr>
            <w:tcW w:type="dxa" w:w="9500"/>
            <w:shd w:fill="1E1E1E" w:val="clear"/>
            <w:tcMar>
              <w:top w:type="dxa" w:w="140"/>
              <w:left w:type="dxa" w:w="160"/>
              <w:bottom w:type="dxa" w:w="140"/>
              <w:right w:type="dxa" w:w="160"/>
            </w:tcMar>
          </w:tcPr>
          <w:p>
            <w:pPr>
              <w:spacing w:after="40"/>
            </w:pPr>
            <w:r>
              <w:rPr>
                <w:rFonts w:ascii="Consolas" w:cs="Consolas" w:eastAsia="Consolas" w:hAnsi="Consolas"/>
                <w:color w:val="D4D4D4"/>
                <w:sz w:val="18"/>
                <w:szCs w:val="18"/>
              </w:rPr>
              <w:t xml:space="preserve">POST /checkout/line-item/add</w:t>
            </w:r>
          </w:p>
          <w:p>
            <w:pPr>
              <w:spacing w:after="40"/>
            </w:pPr>
            <w:r>
              <w:rPr>
                <w:rFonts w:ascii="Consolas" w:cs="Consolas" w:eastAsia="Consolas" w:hAnsi="Consolas"/>
                <w:color w:val="D4D4D4"/>
                <w:sz w:val="18"/>
                <w:szCs w:val="18"/>
              </w:rPr>
              <w:t xml:space="preserve">lineItems[&lt;productId&gt;][quantity]=0</w:t>
            </w:r>
          </w:p>
          <w:p>
            <w:pPr>
              <w:spacing w:after="40"/>
            </w:pPr>
            <w:r>
              <w:rPr>
                <w:rFonts w:ascii="Consolas" w:cs="Consolas" w:eastAsia="Consolas" w:hAnsi="Consolas"/>
                <w:color w:val="D4D4D4"/>
                <w:sz w:val="18"/>
                <w:szCs w:val="18"/>
              </w:rPr>
              <w:t xml:space="preserve"/>
            </w:r>
          </w:p>
          <w:p>
            <w:pPr>
              <w:spacing w:after="40"/>
            </w:pPr>
            <w:r>
              <w:rPr>
                <w:rFonts w:ascii="Consolas" w:cs="Consolas" w:eastAsia="Consolas" w:hAnsi="Consolas"/>
                <w:color w:val="D4D4D4"/>
                <w:sz w:val="18"/>
                <w:szCs w:val="18"/>
              </w:rPr>
              <w:t xml:space="preserve">Response: HTTP 200, redirected to /checkout/offcanvas</w:t>
            </w:r>
          </w:p>
          <w:p>
            <w:pPr>
              <w:spacing w:after="40"/>
            </w:pPr>
            <w:r>
              <w:rPr>
                <w:rFonts w:ascii="Consolas" w:cs="Consolas" w:eastAsia="Consolas" w:hAnsi="Consolas"/>
                <w:color w:val="D4D4D4"/>
                <w:sz w:val="18"/>
                <w:szCs w:val="18"/>
              </w:rPr>
              <w:t xml:space="preserve">Response body contains: "Die angegebene Menge (0) ist ungültig."</w:t>
            </w:r>
          </w:p>
          <w:p>
            <w:pPr>
              <w:spacing w:after="40"/>
            </w:pPr>
            <w:r>
              <w:rPr>
                <w:rFonts w:ascii="Consolas" w:cs="Consolas" w:eastAsia="Consolas" w:hAnsi="Consolas"/>
                <w:color w:val="D4D4D4"/>
                <w:sz w:val="18"/>
                <w:szCs w:val="18"/>
              </w:rPr>
              <w:t xml:space="preserve">                        ("The specified quantity (0) is invalid.")</w:t>
            </w:r>
          </w:p>
          <w:p>
            <w:pPr>
              <w:spacing w:after="40"/>
            </w:pPr>
            <w:r>
              <w:rPr>
                <w:rFonts w:ascii="Consolas" w:cs="Consolas" w:eastAsia="Consolas" w:hAnsi="Consolas"/>
                <w:color w:val="D4D4D4"/>
                <w:sz w:val="18"/>
                <w:szCs w:val="18"/>
              </w:rPr>
              <w:t xml:space="preserve">                        "Ihr Warenkorb ist leer." ("Your cart is empty.")</w:t>
            </w:r>
          </w:p>
        </w:tc>
      </w:tr>
    </w:tbl>
    <w:p>
      <w:pPr>
        <w:pStyle w:val="Heading1"/>
        <w:spacing w:after="140" w:before="320"/>
      </w:pPr>
      <w:r>
        <w:rPr>
          <w:color w:val="1F4E79"/>
        </w:rPr>
        <w:t xml:space="preserve">Expected vs. Actual Result</w:t>
      </w:r>
    </w:p>
    <w:tbl>
      <w:tblPr>
        <w:tblW w:type="dxa" w:w="9500"/>
        <w:tblBorders>
          <w:top w:val="single" w:color="AAAAAA" w:sz="4"/>
          <w:left w:val="single" w:color="AAAAAA" w:sz="4"/>
          <w:bottom w:val="single" w:color="AAAAAA" w:sz="4"/>
          <w:right w:val="single" w:color="AAAAAA" w:sz="4"/>
          <w:insideH w:val="single" w:color="CCCCCC" w:sz="4"/>
          <w:insideV w:val="single" w:color="CCCCCC" w:sz="4"/>
        </w:tblBorders>
      </w:tblPr>
      <w:tblGrid>
        <w:gridCol w:w="2600"/>
        <w:gridCol w:w="6900"/>
      </w:tblGrid>
      <w:tr>
        <w:tc>
          <w:tcPr>
            <w:tcW w:type="dxa" w:w="2600"/>
            <w:shd w:fill="F2F6FA" w:val="clear"/>
            <w:tcMar>
              <w:top w:type="dxa" w:w="100"/>
              <w:left w:type="dxa" w:w="120"/>
              <w:bottom w:type="dxa" w:w="100"/>
              <w:right w:type="dxa" w:w="120"/>
            </w:tcMar>
            <w:vAlign w:val="center"/>
          </w:tcPr>
          <w:p>
            <w:r>
              <w:rPr>
                <w:b/>
                <w:bCs/>
                <w:sz w:val="20"/>
                <w:szCs w:val="20"/>
              </w:rPr>
              <w:t xml:space="preserve">Expected</w:t>
            </w:r>
          </w:p>
        </w:tc>
        <w:tc>
          <w:tcPr>
            <w:tcW w:type="dxa" w:w="6900"/>
            <w:tcMar>
              <w:top w:type="dxa" w:w="100"/>
              <w:left w:type="dxa" w:w="120"/>
              <w:bottom w:type="dxa" w:w="100"/>
              <w:right w:type="dxa" w:w="120"/>
            </w:tcMar>
            <w:vAlign w:val="center"/>
          </w:tcPr>
          <w:p>
            <w:pPr>
              <w:spacing w:after="60"/>
            </w:pPr>
            <w:r>
              <w:rPr>
                <w:sz w:val="20"/>
                <w:szCs w:val="20"/>
              </w:rPr>
              <w:t xml:space="preserve">The server rejects an invalid quantity (0) with a clear error regardless of how the request arrives (mouse click, script, retried/replayed request).</w:t>
            </w:r>
          </w:p>
          <w:p>
            <w:pPr>
              <w:spacing w:after="0"/>
            </w:pPr>
            <w:r>
              <w:rPr>
                <w:sz w:val="20"/>
                <w:szCs w:val="20"/>
              </w:rPr>
              <w:t xml:space="preserve">If this state is ever reached, the storefront visibly surfaces the validation message to the user (toast, banner, or the off-canvas cart with the error shown) — the same message the server already generates.</w:t>
            </w:r>
          </w:p>
        </w:tc>
      </w:tr>
      <w:tr>
        <w:tc>
          <w:tcPr>
            <w:tcW w:type="dxa" w:w="2600"/>
            <w:shd w:fill="F2F6FA" w:val="clear"/>
            <w:tcMar>
              <w:top w:type="dxa" w:w="100"/>
              <w:left w:type="dxa" w:w="120"/>
              <w:bottom w:type="dxa" w:w="100"/>
              <w:right w:type="dxa" w:w="120"/>
            </w:tcMar>
            <w:vAlign w:val="center"/>
          </w:tcPr>
          <w:p>
            <w:r>
              <w:rPr>
                <w:b/>
                <w:bCs/>
                <w:sz w:val="20"/>
                <w:szCs w:val="20"/>
              </w:rPr>
              <w:t xml:space="preserve">Actual</w:t>
            </w:r>
          </w:p>
        </w:tc>
        <w:tc>
          <w:tcPr>
            <w:tcW w:type="dxa" w:w="6900"/>
            <w:tcMar>
              <w:top w:type="dxa" w:w="100"/>
              <w:left w:type="dxa" w:w="120"/>
              <w:bottom w:type="dxa" w:w="100"/>
              <w:right w:type="dxa" w:w="120"/>
            </w:tcMar>
            <w:vAlign w:val="center"/>
          </w:tcPr>
          <w:p>
            <w:pPr>
              <w:spacing w:after="60"/>
            </w:pPr>
            <w:r>
              <w:rPr>
                <w:sz w:val="20"/>
                <w:szCs w:val="20"/>
              </w:rPr>
              <w:t xml:space="preserve">The endpoint answers with HTTP 200 and a redirect identical to a successful add — a “success-shaped” response for a rejected operation.</w:t>
            </w:r>
          </w:p>
          <w:p>
            <w:pPr>
              <w:spacing w:after="60"/>
            </w:pPr>
            <w:r>
              <w:rPr>
                <w:sz w:val="20"/>
                <w:szCs w:val="20"/>
              </w:rPr>
              <w:t xml:space="preserve">No item is added to the cart (verified via a follow-up GET of /checkout/cart — cart remains empty).</w:t>
            </w:r>
          </w:p>
          <w:p>
            <w:pPr>
              <w:spacing w:after="0"/>
            </w:pPr>
            <w:r>
              <w:rPr>
                <w:sz w:val="20"/>
                <w:szCs w:val="20"/>
              </w:rPr>
              <w:t xml:space="preserve">The correct localized error message IS present in the raw response fragment, but nothing renders it on screen when this path is triggered outside a trusted click: no off-canvas drawer opens, no toast/banner appears, and the cart badge does not change. There is zero visible feedback.</w:t>
            </w:r>
          </w:p>
        </w:tc>
      </w:tr>
    </w:tbl>
    <w:p>
      <w:pPr>
        <w:pStyle w:val="Heading1"/>
        <w:spacing w:after="140" w:before="320"/>
      </w:pPr>
      <w:r>
        <w:rPr>
          <w:color w:val="1F4E79"/>
        </w:rPr>
        <w:t xml:space="preserve">Severity: Low–Medium</w:t>
      </w:r>
    </w:p>
    <w:p>
      <w:pPr>
        <w:spacing w:after="100"/>
      </w:pPr>
      <w:r>
        <w:rPr>
          <w:sz w:val="20"/>
          <w:szCs w:val="20"/>
        </w:rPr>
        <w:t xml:space="preserve">Justification: the primary happy-path is not at risk — a real shopper using the mouse or keyboard cannot reach quantity 0 through this field, because the browser's native validation correctly blocks a trusted click (confirmed in Part A). That rules out High/Critical.</w:t>
      </w:r>
    </w:p>
    <w:p>
      <w:pPr>
        <w:spacing w:after="100"/>
      </w:pPr>
      <w:r>
        <w:rPr>
          <w:sz w:val="20"/>
          <w:szCs w:val="20"/>
        </w:rPr>
        <w:t xml:space="preserve">It is still worth fixing because:</w:t>
      </w:r>
    </w:p>
    <w:p>
      <w:pPr>
        <w:spacing w:after="60"/>
      </w:pPr>
      <w:r>
        <w:rPr>
          <w:sz w:val="20"/>
          <w:szCs w:val="20"/>
        </w:rPr>
        <w:t xml:space="preserve">•  The “quantity ≥ 1” business rule is enforced only by a client-side HTML attribute and is not independently re-validated in a way that reaches the user — relying solely on client-side constraint validation for a cart-integrity rule is a fragile pattern.</w:t>
      </w:r>
    </w:p>
    <w:p>
      <w:pPr>
        <w:spacing w:after="60"/>
      </w:pPr>
      <w:r>
        <w:rPr>
          <w:sz w:val="20"/>
          <w:szCs w:val="20"/>
        </w:rPr>
        <w:t xml:space="preserve">•  The exact trigger — a script or automated call bypassing the trusted-click requirement — is precisely what test automation, a retried AJAX call after a flaky network response, or a future front-end change could produce; when it happens, the failure is completely silent, which is hard to debug and could look like “the button doesn't work” if ever hit by a real user through some other path.</w:t>
      </w:r>
    </w:p>
    <w:p>
      <w:pPr>
        <w:spacing w:after="60"/>
      </w:pPr>
      <w:r>
        <w:rPr>
          <w:sz w:val="20"/>
          <w:szCs w:val="20"/>
        </w:rPr>
        <w:t xml:space="preserve">•  The server has already computed the right, correctly localized error message — the gap is purely in not rendering it for this response path, which is a small, low-risk fix.</w:t>
      </w:r>
    </w:p>
    <w:p>
      <w:pPr>
        <w:pStyle w:val="Heading1"/>
        <w:spacing w:after="140" w:before="320"/>
      </w:pPr>
      <w:r>
        <w:rPr>
          <w:color w:val="1F4E79"/>
        </w:rPr>
        <w:t xml:space="preserve">Suggested Fix</w:t>
      </w:r>
    </w:p>
    <w:p>
      <w:pPr>
        <w:spacing w:after="100"/>
      </w:pPr>
      <w:r>
        <w:rPr>
          <w:sz w:val="20"/>
          <w:szCs w:val="20"/>
        </w:rPr>
        <w:t xml:space="preserve">Have /checkout/line-item/add return a distinct, non-200 status (e.g. 400/422) whenever the cart validation produces an error such as an invalid quantity, and have the storefront's cart JavaScript always render any error present in the response fragment — rather than treating HTTP 200 as unconditional success — regardless of whether the request came from a trusted click or not.</w:t>
      </w:r>
    </w:p>
    <w:p>
      <w:pPr>
        <w:pStyle w:val="Heading1"/>
        <w:spacing w:after="140" w:before="320"/>
      </w:pPr>
      <w:r>
        <w:rPr>
          <w:color w:val="1F4E79"/>
        </w:rPr>
        <w:t xml:space="preserve">Evidence</w:t>
      </w:r>
    </w:p>
    <w:p>
      <w:pPr>
        <w:spacing w:after="60"/>
      </w:pPr>
      <w:r>
        <w:rPr>
          <w:sz w:val="20"/>
          <w:szCs w:val="20"/>
        </w:rPr>
        <w:t xml:space="preserve">Screenshots captured during testing (available on request):</w:t>
      </w:r>
    </w:p>
    <w:p>
      <w:pPr>
        <w:spacing w:after="60"/>
      </w:pPr>
      <w:r>
        <w:rPr>
          <w:sz w:val="20"/>
          <w:szCs w:val="20"/>
        </w:rPr>
        <w:t xml:space="preserve">•  Quantity field showing “0” next to the “Add to cart” button, before submission.</w:t>
      </w:r>
    </w:p>
    <w:p>
      <w:pPr>
        <w:spacing w:after="60"/>
      </w:pPr>
      <w:r>
        <w:rPr>
          <w:sz w:val="20"/>
          <w:szCs w:val="20"/>
        </w:rPr>
        <w:t xml:space="preserve">•  Native browser tooltip “Value must be greater than or equal to 1.” shown after a real trusted click (Part A) — confirms the on-screen control behaves correctly for ordinary users.</w:t>
      </w:r>
    </w:p>
    <w:p>
      <w:pPr>
        <w:spacing w:after="0"/>
      </w:pPr>
      <w:r>
        <w:rPr>
          <w:sz w:val="20"/>
          <w:szCs w:val="20"/>
        </w:rPr>
        <w:t xml:space="preserve">Network evidence: the raw response body captured for the bypassed request (Part B) is quoted in the code block above — HTTP 200 together with the untranslated-but-present validation string and the resulting empty-cart message.</w:t>
      </w:r>
    </w:p>
    <w:sectPr>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2026-09-02T16:29:58.818Z</dcterms:created>
  <dcterms:modified xsi:type="dcterms:W3CDTF">2026-09-02T16:29:58.818Z</dcterms:modified>
</cp:coreProperties>
</file>

<file path=docProps/custom.xml><?xml version="1.0" encoding="utf-8"?>
<Properties xmlns="http://schemas.openxmlformats.org/officeDocument/2006/custom-properties" xmlns:vt="http://schemas.openxmlformats.org/officeDocument/2006/docPropsVTypes"/>
</file>