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4261"/>
          <w:sz w:val="48"/>
        </w:rPr>
        <w:t>FinCalc Smart Calculator Category Roadmap</w:t>
      </w:r>
    </w:p>
    <w:p>
      <w:pPr>
        <w:jc w:val="center"/>
      </w:pPr>
      <w:r>
        <w:rPr>
          <w:color w:val="64748B"/>
          <w:sz w:val="22"/>
        </w:rPr>
        <w:t>Full picture, Phase 1 launch structure, and Phase 2 expansion plan</w:t>
      </w:r>
    </w:p>
    <w:p/>
    <w:p>
      <w:pPr>
        <w:pStyle w:val="Heading1"/>
      </w:pPr>
      <w:r>
        <w:t>1. Full Picture</w:t>
      </w:r>
    </w:p>
    <w:p>
      <w:r>
        <w:t>The V2 foundation is complete. The next phase should use a stable calculator architecture before building new calculators from scratch. The homepage can stay simple with four main entry cards, while the full calculator menu and footer should use a six-category structure that can scale over time.</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0C4261"/>
          </w:tcPr>
          <w:p>
            <w:pPr>
              <w:spacing w:after="0"/>
            </w:pPr>
            <w:r/>
            <w:r>
              <w:rPr>
                <w:b/>
                <w:color w:val="FFFFFF"/>
              </w:rPr>
              <w:t>Area</w:t>
            </w:r>
          </w:p>
        </w:tc>
        <w:tc>
          <w:tcPr>
            <w:tcW w:type="dxa" w:w="3744"/>
            <w:vAlign w:val="center"/>
            <w:shd w:fill="0C4261"/>
          </w:tcPr>
          <w:p>
            <w:pPr>
              <w:spacing w:after="0"/>
            </w:pPr>
            <w:r/>
            <w:r>
              <w:rPr>
                <w:b/>
                <w:color w:val="FFFFFF"/>
              </w:rPr>
              <w:t>Recommended Structure</w:t>
            </w:r>
          </w:p>
        </w:tc>
        <w:tc>
          <w:tcPr>
            <w:tcW w:type="dxa" w:w="4608"/>
            <w:vAlign w:val="center"/>
            <w:shd w:fill="0C4261"/>
          </w:tcPr>
          <w:p>
            <w:pPr>
              <w:spacing w:after="0"/>
            </w:pPr>
            <w:r/>
            <w:r>
              <w:rPr>
                <w:b/>
                <w:color w:val="FFFFFF"/>
              </w:rPr>
              <w:t>Reason</w:t>
            </w:r>
          </w:p>
        </w:tc>
      </w:tr>
      <w:tr>
        <w:tc>
          <w:tcPr>
            <w:tcW w:type="dxa" w:w="2592"/>
            <w:vAlign w:val="center"/>
          </w:tcPr>
          <w:p>
            <w:pPr>
              <w:spacing w:after="0"/>
            </w:pPr>
            <w:r/>
            <w:r>
              <w:rPr>
                <w:b w:val="0"/>
              </w:rPr>
              <w:t>Homepage main cards</w:t>
            </w:r>
          </w:p>
        </w:tc>
        <w:tc>
          <w:tcPr>
            <w:tcW w:type="dxa" w:w="3744"/>
            <w:vAlign w:val="center"/>
          </w:tcPr>
          <w:p>
            <w:pPr>
              <w:spacing w:after="0"/>
            </w:pPr>
            <w:r/>
            <w:r>
              <w:rPr>
                <w:b w:val="0"/>
              </w:rPr>
              <w:t>4 broad entry points</w:t>
            </w:r>
          </w:p>
        </w:tc>
        <w:tc>
          <w:tcPr>
            <w:tcW w:type="dxa" w:w="4608"/>
            <w:vAlign w:val="center"/>
          </w:tcPr>
          <w:p>
            <w:pPr>
              <w:spacing w:after="0"/>
            </w:pPr>
            <w:r/>
            <w:r>
              <w:rPr>
                <w:b w:val="0"/>
              </w:rPr>
              <w:t>Simple, clear, mobile-friendly, not too many choices.</w:t>
            </w:r>
          </w:p>
        </w:tc>
      </w:tr>
      <w:tr>
        <w:tc>
          <w:tcPr>
            <w:tcW w:type="dxa" w:w="2592"/>
            <w:vAlign w:val="center"/>
          </w:tcPr>
          <w:p>
            <w:pPr>
              <w:spacing w:after="0"/>
            </w:pPr>
            <w:r/>
            <w:r>
              <w:rPr>
                <w:b w:val="0"/>
              </w:rPr>
              <w:t>Top menu / footer</w:t>
            </w:r>
          </w:p>
        </w:tc>
        <w:tc>
          <w:tcPr>
            <w:tcW w:type="dxa" w:w="3744"/>
            <w:vAlign w:val="center"/>
          </w:tcPr>
          <w:p>
            <w:pPr>
              <w:spacing w:after="0"/>
            </w:pPr>
            <w:r/>
            <w:r>
              <w:rPr>
                <w:b w:val="0"/>
              </w:rPr>
              <w:t>6 calculator categories</w:t>
            </w:r>
          </w:p>
        </w:tc>
        <w:tc>
          <w:tcPr>
            <w:tcW w:type="dxa" w:w="4608"/>
            <w:vAlign w:val="center"/>
          </w:tcPr>
          <w:p>
            <w:pPr>
              <w:spacing w:after="0"/>
            </w:pPr>
            <w:r/>
            <w:r>
              <w:rPr>
                <w:b w:val="0"/>
              </w:rPr>
              <w:t>Better long-term SEO and cleaner calculator organization.</w:t>
            </w:r>
          </w:p>
        </w:tc>
      </w:tr>
      <w:tr>
        <w:tc>
          <w:tcPr>
            <w:tcW w:type="dxa" w:w="2592"/>
            <w:vAlign w:val="center"/>
          </w:tcPr>
          <w:p>
            <w:pPr>
              <w:spacing w:after="0"/>
            </w:pPr>
            <w:r/>
            <w:r>
              <w:rPr>
                <w:b w:val="0"/>
              </w:rPr>
              <w:t>Calculator builds</w:t>
            </w:r>
          </w:p>
        </w:tc>
        <w:tc>
          <w:tcPr>
            <w:tcW w:type="dxa" w:w="3744"/>
            <w:vAlign w:val="center"/>
          </w:tcPr>
          <w:p>
            <w:pPr>
              <w:spacing w:after="0"/>
            </w:pPr>
            <w:r/>
            <w:r>
              <w:rPr>
                <w:b w:val="0"/>
              </w:rPr>
              <w:t>Phase 1: around 20 core calculators</w:t>
            </w:r>
          </w:p>
        </w:tc>
        <w:tc>
          <w:tcPr>
            <w:tcW w:type="dxa" w:w="4608"/>
            <w:vAlign w:val="center"/>
          </w:tcPr>
          <w:p>
            <w:pPr>
              <w:spacing w:after="0"/>
            </w:pPr>
            <w:r/>
            <w:r>
              <w:rPr>
                <w:b w:val="0"/>
              </w:rPr>
              <w:t>Enough breadth for launch without becoming messy.</w:t>
            </w:r>
          </w:p>
        </w:tc>
      </w:tr>
      <w:tr>
        <w:tc>
          <w:tcPr>
            <w:tcW w:type="dxa" w:w="2592"/>
            <w:vAlign w:val="center"/>
          </w:tcPr>
          <w:p>
            <w:pPr>
              <w:spacing w:after="0"/>
            </w:pPr>
            <w:r/>
            <w:r>
              <w:rPr>
                <w:b w:val="0"/>
              </w:rPr>
              <w:t>Expansion</w:t>
            </w:r>
          </w:p>
        </w:tc>
        <w:tc>
          <w:tcPr>
            <w:tcW w:type="dxa" w:w="3744"/>
            <w:vAlign w:val="center"/>
          </w:tcPr>
          <w:p>
            <w:pPr>
              <w:spacing w:after="0"/>
            </w:pPr>
            <w:r/>
            <w:r>
              <w:rPr>
                <w:b w:val="0"/>
              </w:rPr>
              <w:t>Phase 2: add deeper niche calculators</w:t>
            </w:r>
          </w:p>
        </w:tc>
        <w:tc>
          <w:tcPr>
            <w:tcW w:type="dxa" w:w="4608"/>
            <w:vAlign w:val="center"/>
          </w:tcPr>
          <w:p>
            <w:pPr>
              <w:spacing w:after="0"/>
            </w:pPr>
            <w:r/>
            <w:r>
              <w:rPr>
                <w:b w:val="0"/>
              </w:rPr>
              <w:t>Scale after the template workflow is proven.</w:t>
            </w:r>
          </w:p>
        </w:tc>
      </w:tr>
    </w:tbl>
    <w:p/>
    <w:p>
      <w:pPr>
        <w:pStyle w:val="Heading1"/>
      </w:pPr>
      <w:r>
        <w:t>2. Homepage vs. Full Calculator Architecture</w:t>
      </w:r>
    </w:p>
    <w:p>
      <w:r>
        <w:t>Recommendation: do not force the homepage to show every full category. The homepage should act as a clean starting point. The full calculator menu and footer should show the complete structure.</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0C4261"/>
          </w:tcPr>
          <w:p>
            <w:pPr>
              <w:spacing w:after="0"/>
            </w:pPr>
            <w:r/>
            <w:r>
              <w:rPr>
                <w:b/>
                <w:color w:val="FFFFFF"/>
              </w:rPr>
              <w:t>Homepage 4 Main Cards</w:t>
            </w:r>
          </w:p>
        </w:tc>
        <w:tc>
          <w:tcPr>
            <w:tcW w:type="dxa" w:w="4320"/>
            <w:vAlign w:val="center"/>
            <w:shd w:fill="0C4261"/>
          </w:tcPr>
          <w:p>
            <w:pPr>
              <w:spacing w:after="0"/>
            </w:pPr>
            <w:r/>
            <w:r>
              <w:rPr>
                <w:b/>
                <w:color w:val="FFFFFF"/>
              </w:rPr>
              <w:t>Purpose</w:t>
            </w:r>
          </w:p>
        </w:tc>
        <w:tc>
          <w:tcPr>
            <w:tcW w:type="dxa" w:w="3744"/>
            <w:vAlign w:val="center"/>
            <w:shd w:fill="0C4261"/>
          </w:tcPr>
          <w:p>
            <w:pPr>
              <w:spacing w:after="0"/>
            </w:pPr>
            <w:r/>
            <w:r>
              <w:rPr>
                <w:b/>
                <w:color w:val="FFFFFF"/>
              </w:rPr>
              <w:t>Connects To</w:t>
            </w:r>
          </w:p>
        </w:tc>
      </w:tr>
      <w:tr>
        <w:tc>
          <w:tcPr>
            <w:tcW w:type="dxa" w:w="2880"/>
            <w:vAlign w:val="center"/>
          </w:tcPr>
          <w:p>
            <w:pPr>
              <w:spacing w:after="0"/>
            </w:pPr>
            <w:r/>
            <w:r>
              <w:rPr>
                <w:b w:val="0"/>
              </w:rPr>
              <w:t>Mortgage</w:t>
            </w:r>
          </w:p>
        </w:tc>
        <w:tc>
          <w:tcPr>
            <w:tcW w:type="dxa" w:w="4320"/>
            <w:vAlign w:val="center"/>
          </w:tcPr>
          <w:p>
            <w:pPr>
              <w:spacing w:after="0"/>
            </w:pPr>
            <w:r/>
            <w:r>
              <w:rPr>
                <w:b w:val="0"/>
              </w:rPr>
              <w:t>Home buying, payment, qualification, insurance, refinancing</w:t>
            </w:r>
          </w:p>
        </w:tc>
        <w:tc>
          <w:tcPr>
            <w:tcW w:type="dxa" w:w="3744"/>
            <w:vAlign w:val="center"/>
          </w:tcPr>
          <w:p>
            <w:pPr>
              <w:spacing w:after="0"/>
            </w:pPr>
            <w:r/>
            <w:r>
              <w:rPr>
                <w:b w:val="0"/>
              </w:rPr>
              <w:t>Mortgage category</w:t>
            </w:r>
          </w:p>
        </w:tc>
      </w:tr>
      <w:tr>
        <w:tc>
          <w:tcPr>
            <w:tcW w:type="dxa" w:w="2880"/>
            <w:vAlign w:val="center"/>
          </w:tcPr>
          <w:p>
            <w:pPr>
              <w:spacing w:after="0"/>
            </w:pPr>
            <w:r/>
            <w:r>
              <w:rPr>
                <w:b w:val="0"/>
              </w:rPr>
              <w:t>Loans</w:t>
            </w:r>
          </w:p>
        </w:tc>
        <w:tc>
          <w:tcPr>
            <w:tcW w:type="dxa" w:w="4320"/>
            <w:vAlign w:val="center"/>
          </w:tcPr>
          <w:p>
            <w:pPr>
              <w:spacing w:after="0"/>
            </w:pPr>
            <w:r/>
            <w:r>
              <w:rPr>
                <w:b w:val="0"/>
              </w:rPr>
              <w:t>Loan payments, interest costs, payoff timelines, debt strategies</w:t>
            </w:r>
          </w:p>
        </w:tc>
        <w:tc>
          <w:tcPr>
            <w:tcW w:type="dxa" w:w="3744"/>
            <w:vAlign w:val="center"/>
          </w:tcPr>
          <w:p>
            <w:pPr>
              <w:spacing w:after="0"/>
            </w:pPr>
            <w:r/>
            <w:r>
              <w:rPr>
                <w:b w:val="0"/>
              </w:rPr>
              <w:t>Loans category</w:t>
            </w:r>
          </w:p>
        </w:tc>
      </w:tr>
      <w:tr>
        <w:tc>
          <w:tcPr>
            <w:tcW w:type="dxa" w:w="2880"/>
            <w:vAlign w:val="center"/>
          </w:tcPr>
          <w:p>
            <w:pPr>
              <w:spacing w:after="0"/>
            </w:pPr>
            <w:r/>
            <w:r>
              <w:rPr>
                <w:b w:val="0"/>
              </w:rPr>
              <w:t>Financial Planning</w:t>
            </w:r>
          </w:p>
        </w:tc>
        <w:tc>
          <w:tcPr>
            <w:tcW w:type="dxa" w:w="4320"/>
            <w:vAlign w:val="center"/>
          </w:tcPr>
          <w:p>
            <w:pPr>
              <w:spacing w:after="0"/>
            </w:pPr>
            <w:r/>
            <w:r>
              <w:rPr>
                <w:b w:val="0"/>
              </w:rPr>
              <w:t>Savings, net worth, emergency fund, long-term personal finance</w:t>
            </w:r>
          </w:p>
        </w:tc>
        <w:tc>
          <w:tcPr>
            <w:tcW w:type="dxa" w:w="3744"/>
            <w:vAlign w:val="center"/>
          </w:tcPr>
          <w:p>
            <w:pPr>
              <w:spacing w:after="0"/>
            </w:pPr>
            <w:r/>
            <w:r>
              <w:rPr>
                <w:b w:val="0"/>
              </w:rPr>
              <w:t>Financial Planning + Investing + Retirement</w:t>
            </w:r>
          </w:p>
        </w:tc>
      </w:tr>
      <w:tr>
        <w:tc>
          <w:tcPr>
            <w:tcW w:type="dxa" w:w="2880"/>
            <w:vAlign w:val="center"/>
          </w:tcPr>
          <w:p>
            <w:pPr>
              <w:spacing w:after="0"/>
            </w:pPr>
            <w:r/>
            <w:r>
              <w:rPr>
                <w:b w:val="0"/>
              </w:rPr>
              <w:t>Tax &amp; Salary</w:t>
            </w:r>
          </w:p>
        </w:tc>
        <w:tc>
          <w:tcPr>
            <w:tcW w:type="dxa" w:w="4320"/>
            <w:vAlign w:val="center"/>
          </w:tcPr>
          <w:p>
            <w:pPr>
              <w:spacing w:after="0"/>
            </w:pPr>
            <w:r/>
            <w:r>
              <w:rPr>
                <w:b w:val="0"/>
              </w:rPr>
              <w:t>Income, take-home pay, tax, salary decisions</w:t>
            </w:r>
          </w:p>
        </w:tc>
        <w:tc>
          <w:tcPr>
            <w:tcW w:type="dxa" w:w="3744"/>
            <w:vAlign w:val="center"/>
          </w:tcPr>
          <w:p>
            <w:pPr>
              <w:spacing w:after="0"/>
            </w:pPr>
            <w:r/>
            <w:r>
              <w:rPr>
                <w:b w:val="0"/>
              </w:rPr>
              <w:t>Tax &amp; Salary category</w:t>
            </w:r>
          </w:p>
        </w:tc>
      </w:tr>
    </w:tbl>
    <w:p/>
    <w:p>
      <w:r>
        <w:t>Full calculator menu / footer categories:</w:t>
      </w:r>
    </w:p>
    <w:p>
      <w:pPr>
        <w:pStyle w:val="ListBullet"/>
        <w:spacing w:after="40"/>
      </w:pPr>
      <w:r>
        <w:t>Mortgage</w:t>
      </w:r>
    </w:p>
    <w:p>
      <w:pPr>
        <w:pStyle w:val="ListBullet"/>
        <w:spacing w:after="40"/>
      </w:pPr>
      <w:r>
        <w:t>Financial Planning</w:t>
      </w:r>
    </w:p>
    <w:p>
      <w:pPr>
        <w:pStyle w:val="ListBullet"/>
        <w:spacing w:after="40"/>
      </w:pPr>
      <w:r>
        <w:t>Investing</w:t>
      </w:r>
    </w:p>
    <w:p>
      <w:pPr>
        <w:pStyle w:val="ListBullet"/>
        <w:spacing w:after="40"/>
      </w:pPr>
      <w:r>
        <w:t>Retirement</w:t>
      </w:r>
    </w:p>
    <w:p>
      <w:pPr>
        <w:pStyle w:val="ListBullet"/>
        <w:spacing w:after="40"/>
      </w:pPr>
      <w:r>
        <w:t>Loans</w:t>
      </w:r>
    </w:p>
    <w:p>
      <w:pPr>
        <w:pStyle w:val="ListBullet"/>
        <w:spacing w:after="40"/>
      </w:pPr>
      <w:r>
        <w:t>Tax &amp; Salary</w:t>
      </w:r>
    </w:p>
    <w:p>
      <w:pPr>
        <w:pStyle w:val="Heading1"/>
      </w:pPr>
      <w:r>
        <w:t>3. Category Definitions</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0C4261"/>
          </w:tcPr>
          <w:p>
            <w:pPr>
              <w:spacing w:after="0"/>
            </w:pPr>
            <w:r/>
            <w:r>
              <w:rPr>
                <w:b/>
                <w:color w:val="FFFFFF"/>
              </w:rPr>
              <w:t>Category</w:t>
            </w:r>
          </w:p>
        </w:tc>
        <w:tc>
          <w:tcPr>
            <w:tcW w:type="dxa" w:w="4320"/>
            <w:vAlign w:val="center"/>
            <w:shd w:fill="0C4261"/>
          </w:tcPr>
          <w:p>
            <w:pPr>
              <w:spacing w:after="0"/>
            </w:pPr>
            <w:r/>
            <w:r>
              <w:rPr>
                <w:b/>
                <w:color w:val="FFFFFF"/>
              </w:rPr>
              <w:t>User Intent</w:t>
            </w:r>
          </w:p>
        </w:tc>
        <w:tc>
          <w:tcPr>
            <w:tcW w:type="dxa" w:w="4680"/>
            <w:vAlign w:val="center"/>
            <w:shd w:fill="0C4261"/>
          </w:tcPr>
          <w:p>
            <w:pPr>
              <w:spacing w:after="0"/>
            </w:pPr>
            <w:r/>
            <w:r>
              <w:rPr>
                <w:b/>
                <w:color w:val="FFFFFF"/>
              </w:rPr>
              <w:t>Examples</w:t>
            </w:r>
          </w:p>
        </w:tc>
      </w:tr>
      <w:tr>
        <w:tc>
          <w:tcPr>
            <w:tcW w:type="dxa" w:w="1944"/>
            <w:vAlign w:val="center"/>
          </w:tcPr>
          <w:p>
            <w:pPr>
              <w:spacing w:after="0"/>
            </w:pPr>
            <w:r/>
            <w:r>
              <w:rPr>
                <w:b w:val="0"/>
              </w:rPr>
              <w:t>Mortgage</w:t>
            </w:r>
          </w:p>
        </w:tc>
        <w:tc>
          <w:tcPr>
            <w:tcW w:type="dxa" w:w="4320"/>
            <w:vAlign w:val="center"/>
          </w:tcPr>
          <w:p>
            <w:pPr>
              <w:spacing w:after="0"/>
            </w:pPr>
            <w:r/>
            <w:r>
              <w:rPr>
                <w:b w:val="0"/>
              </w:rPr>
              <w:t>Understand home affordability, payments, qualification, insurance, refinance, and rent vs. buy decisions.</w:t>
            </w:r>
          </w:p>
        </w:tc>
        <w:tc>
          <w:tcPr>
            <w:tcW w:type="dxa" w:w="4680"/>
            <w:vAlign w:val="center"/>
          </w:tcPr>
          <w:p>
            <w:pPr>
              <w:spacing w:after="0"/>
            </w:pPr>
            <w:r/>
            <w:r>
              <w:rPr>
                <w:b w:val="0"/>
              </w:rPr>
              <w:t>Mortgage, Mortgage Qualifier, CMHC Insurance, Rent vs. Buy, Mortgage Refinance</w:t>
            </w:r>
          </w:p>
        </w:tc>
      </w:tr>
      <w:tr>
        <w:tc>
          <w:tcPr>
            <w:tcW w:type="dxa" w:w="1944"/>
            <w:vAlign w:val="center"/>
          </w:tcPr>
          <w:p>
            <w:pPr>
              <w:spacing w:after="0"/>
            </w:pPr>
            <w:r/>
            <w:r>
              <w:rPr>
                <w:b w:val="0"/>
              </w:rPr>
              <w:t>Financial Planning</w:t>
            </w:r>
          </w:p>
        </w:tc>
        <w:tc>
          <w:tcPr>
            <w:tcW w:type="dxa" w:w="4320"/>
            <w:vAlign w:val="center"/>
          </w:tcPr>
          <w:p>
            <w:pPr>
              <w:spacing w:after="0"/>
            </w:pPr>
            <w:r/>
            <w:r>
              <w:rPr>
                <w:b w:val="0"/>
              </w:rPr>
              <w:t>Understand current financial readiness and savings goals.</w:t>
            </w:r>
          </w:p>
        </w:tc>
        <w:tc>
          <w:tcPr>
            <w:tcW w:type="dxa" w:w="4680"/>
            <w:vAlign w:val="center"/>
          </w:tcPr>
          <w:p>
            <w:pPr>
              <w:spacing w:after="0"/>
            </w:pPr>
            <w:r/>
            <w:r>
              <w:rPr>
                <w:b w:val="0"/>
              </w:rPr>
              <w:t>Net Worth, Emergency Fund, TFSA, RRSP Savings, Vacation Savings</w:t>
            </w:r>
          </w:p>
        </w:tc>
      </w:tr>
      <w:tr>
        <w:tc>
          <w:tcPr>
            <w:tcW w:type="dxa" w:w="1944"/>
            <w:vAlign w:val="center"/>
          </w:tcPr>
          <w:p>
            <w:pPr>
              <w:spacing w:after="0"/>
            </w:pPr>
            <w:r/>
            <w:r>
              <w:rPr>
                <w:b w:val="0"/>
              </w:rPr>
              <w:t>Investing</w:t>
            </w:r>
          </w:p>
        </w:tc>
        <w:tc>
          <w:tcPr>
            <w:tcW w:type="dxa" w:w="4320"/>
            <w:vAlign w:val="center"/>
          </w:tcPr>
          <w:p>
            <w:pPr>
              <w:spacing w:after="0"/>
            </w:pPr>
            <w:r/>
            <w:r>
              <w:rPr>
                <w:b w:val="0"/>
              </w:rPr>
              <w:t>Understand return, growth, fees, and investment math.</w:t>
            </w:r>
          </w:p>
        </w:tc>
        <w:tc>
          <w:tcPr>
            <w:tcW w:type="dxa" w:w="4680"/>
            <w:vAlign w:val="center"/>
          </w:tcPr>
          <w:p>
            <w:pPr>
              <w:spacing w:after="0"/>
            </w:pPr>
            <w:r/>
            <w:r>
              <w:rPr>
                <w:b w:val="0"/>
              </w:rPr>
              <w:t>Compound Interest, ROI, Rule of 72, Investment Fees, Asset Allocation</w:t>
            </w:r>
          </w:p>
        </w:tc>
      </w:tr>
      <w:tr>
        <w:tc>
          <w:tcPr>
            <w:tcW w:type="dxa" w:w="1944"/>
            <w:vAlign w:val="center"/>
          </w:tcPr>
          <w:p>
            <w:pPr>
              <w:spacing w:after="0"/>
            </w:pPr>
            <w:r/>
            <w:r>
              <w:rPr>
                <w:b w:val="0"/>
              </w:rPr>
              <w:t>Retirement</w:t>
            </w:r>
          </w:p>
        </w:tc>
        <w:tc>
          <w:tcPr>
            <w:tcW w:type="dxa" w:w="4320"/>
            <w:vAlign w:val="center"/>
          </w:tcPr>
          <w:p>
            <w:pPr>
              <w:spacing w:after="0"/>
            </w:pPr>
            <w:r/>
            <w:r>
              <w:rPr>
                <w:b w:val="0"/>
              </w:rPr>
              <w:t>Plan retirement timeline, income readiness, withdrawals, and contribution strategy.</w:t>
            </w:r>
          </w:p>
        </w:tc>
        <w:tc>
          <w:tcPr>
            <w:tcW w:type="dxa" w:w="4680"/>
            <w:vAlign w:val="center"/>
          </w:tcPr>
          <w:p>
            <w:pPr>
              <w:spacing w:after="0"/>
            </w:pPr>
            <w:r/>
            <w:r>
              <w:rPr>
                <w:b w:val="0"/>
              </w:rPr>
              <w:t>FIRE, Retirement Planning, Retirement Withdrawal, 401(k), Roth IRA</w:t>
            </w:r>
          </w:p>
        </w:tc>
      </w:tr>
      <w:tr>
        <w:tc>
          <w:tcPr>
            <w:tcW w:type="dxa" w:w="1944"/>
            <w:vAlign w:val="center"/>
          </w:tcPr>
          <w:p>
            <w:pPr>
              <w:spacing w:after="0"/>
            </w:pPr>
            <w:r/>
            <w:r>
              <w:rPr>
                <w:b w:val="0"/>
              </w:rPr>
              <w:t>Loans</w:t>
            </w:r>
          </w:p>
        </w:tc>
        <w:tc>
          <w:tcPr>
            <w:tcW w:type="dxa" w:w="4320"/>
            <w:vAlign w:val="center"/>
          </w:tcPr>
          <w:p>
            <w:pPr>
              <w:spacing w:after="0"/>
            </w:pPr>
            <w:r/>
            <w:r>
              <w:rPr>
                <w:b w:val="0"/>
              </w:rPr>
              <w:t>Compare borrowing costs, repayment timelines, and debt payoff strategies.</w:t>
            </w:r>
          </w:p>
        </w:tc>
        <w:tc>
          <w:tcPr>
            <w:tcW w:type="dxa" w:w="4680"/>
            <w:vAlign w:val="center"/>
          </w:tcPr>
          <w:p>
            <w:pPr>
              <w:spacing w:after="0"/>
            </w:pPr>
            <w:r/>
            <w:r>
              <w:rPr>
                <w:b w:val="0"/>
              </w:rPr>
              <w:t>Personal Loan, Car Loan, Student Loan, Debt Repayment, Credit Card Payoff</w:t>
            </w:r>
          </w:p>
        </w:tc>
      </w:tr>
      <w:tr>
        <w:tc>
          <w:tcPr>
            <w:tcW w:type="dxa" w:w="1944"/>
            <w:vAlign w:val="center"/>
          </w:tcPr>
          <w:p>
            <w:pPr>
              <w:spacing w:after="0"/>
            </w:pPr>
            <w:r/>
            <w:r>
              <w:rPr>
                <w:b w:val="0"/>
              </w:rPr>
              <w:t>Tax &amp; Salary</w:t>
            </w:r>
          </w:p>
        </w:tc>
        <w:tc>
          <w:tcPr>
            <w:tcW w:type="dxa" w:w="4320"/>
            <w:vAlign w:val="center"/>
          </w:tcPr>
          <w:p>
            <w:pPr>
              <w:spacing w:after="0"/>
            </w:pPr>
            <w:r/>
            <w:r>
              <w:rPr>
                <w:b w:val="0"/>
              </w:rPr>
              <w:t>Estimate taxes, income, salary conversion, and purchasing/tax impact.</w:t>
            </w:r>
          </w:p>
        </w:tc>
        <w:tc>
          <w:tcPr>
            <w:tcW w:type="dxa" w:w="4680"/>
            <w:vAlign w:val="center"/>
          </w:tcPr>
          <w:p>
            <w:pPr>
              <w:spacing w:after="0"/>
            </w:pPr>
            <w:r/>
            <w:r>
              <w:rPr>
                <w:b w:val="0"/>
              </w:rPr>
              <w:t>Income Tax, Salary, Hourly to Salary, Sales Tax, Capital Gains Tax</w:t>
            </w:r>
          </w:p>
        </w:tc>
      </w:tr>
    </w:tbl>
    <w:p/>
    <w:p>
      <w:pPr>
        <w:pStyle w:val="Heading1"/>
      </w:pPr>
      <w:r>
        <w:t>4. Phase 1: Core Calculator Universe</w:t>
      </w:r>
    </w:p>
    <w:p>
      <w:r>
        <w:t>Phase 1 should focus on the strongest, most reusable, and highest-intent calculators. The target is about 20 calculators, but it is okay if the working list is slightly above 20 before final prioritization.</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0C4261"/>
          </w:tcPr>
          <w:p>
            <w:pPr>
              <w:spacing w:after="0"/>
            </w:pPr>
            <w:r/>
            <w:r>
              <w:rPr>
                <w:b/>
                <w:color w:val="FFFFFF"/>
              </w:rPr>
              <w:t>Category</w:t>
            </w:r>
          </w:p>
        </w:tc>
        <w:tc>
          <w:tcPr>
            <w:tcW w:type="dxa" w:w="3384"/>
            <w:vAlign w:val="center"/>
            <w:shd w:fill="0C4261"/>
          </w:tcPr>
          <w:p>
            <w:pPr>
              <w:spacing w:after="0"/>
            </w:pPr>
            <w:r/>
            <w:r>
              <w:rPr>
                <w:b/>
                <w:color w:val="FFFFFF"/>
              </w:rPr>
              <w:t>Calculator</w:t>
            </w:r>
          </w:p>
        </w:tc>
        <w:tc>
          <w:tcPr>
            <w:tcW w:type="dxa" w:w="5328"/>
            <w:vAlign w:val="center"/>
            <w:shd w:fill="0C4261"/>
          </w:tcPr>
          <w:p>
            <w:pPr>
              <w:spacing w:after="0"/>
            </w:pPr>
            <w:r/>
            <w:r>
              <w:rPr>
                <w:b/>
                <w:color w:val="FFFFFF"/>
              </w:rPr>
              <w:t>Why Phase 1</w:t>
            </w:r>
          </w:p>
        </w:tc>
      </w:tr>
      <w:tr>
        <w:tc>
          <w:tcPr>
            <w:tcW w:type="dxa" w:w="2232"/>
            <w:vAlign w:val="center"/>
          </w:tcPr>
          <w:p>
            <w:pPr>
              <w:spacing w:after="0"/>
            </w:pPr>
            <w:r/>
            <w:r>
              <w:rPr>
                <w:b w:val="0"/>
              </w:rPr>
              <w:t>Mortgage</w:t>
            </w:r>
          </w:p>
        </w:tc>
        <w:tc>
          <w:tcPr>
            <w:tcW w:type="dxa" w:w="3384"/>
            <w:vAlign w:val="center"/>
          </w:tcPr>
          <w:p>
            <w:pPr>
              <w:spacing w:after="0"/>
            </w:pPr>
            <w:r/>
            <w:r>
              <w:rPr>
                <w:b w:val="0"/>
              </w:rPr>
              <w:t>Mortgage Calculator</w:t>
            </w:r>
          </w:p>
        </w:tc>
        <w:tc>
          <w:tcPr>
            <w:tcW w:type="dxa" w:w="5328"/>
            <w:vAlign w:val="center"/>
          </w:tcPr>
          <w:p>
            <w:pPr>
              <w:spacing w:after="0"/>
            </w:pPr>
            <w:r/>
            <w:r>
              <w:rPr>
                <w:b w:val="0"/>
              </w:rPr>
              <w:t>Already built / V2 locked</w:t>
            </w:r>
          </w:p>
        </w:tc>
      </w:tr>
      <w:tr>
        <w:tc>
          <w:tcPr>
            <w:tcW w:type="dxa" w:w="2232"/>
            <w:vAlign w:val="center"/>
          </w:tcPr>
          <w:p>
            <w:pPr>
              <w:spacing w:after="0"/>
            </w:pPr>
            <w:r/>
            <w:r>
              <w:rPr>
                <w:b w:val="0"/>
              </w:rPr>
              <w:t>Mortgage</w:t>
            </w:r>
          </w:p>
        </w:tc>
        <w:tc>
          <w:tcPr>
            <w:tcW w:type="dxa" w:w="3384"/>
            <w:vAlign w:val="center"/>
          </w:tcPr>
          <w:p>
            <w:pPr>
              <w:spacing w:after="0"/>
            </w:pPr>
            <w:r/>
            <w:r>
              <w:rPr>
                <w:b w:val="0"/>
              </w:rPr>
              <w:t>Mortgage Qualifier Calculator</w:t>
            </w:r>
          </w:p>
        </w:tc>
        <w:tc>
          <w:tcPr>
            <w:tcW w:type="dxa" w:w="5328"/>
            <w:vAlign w:val="center"/>
          </w:tcPr>
          <w:p>
            <w:pPr>
              <w:spacing w:after="0"/>
            </w:pPr>
            <w:r/>
            <w:r>
              <w:rPr>
                <w:b w:val="0"/>
              </w:rPr>
              <w:t>Already built / V2 locked</w:t>
            </w:r>
          </w:p>
        </w:tc>
      </w:tr>
      <w:tr>
        <w:tc>
          <w:tcPr>
            <w:tcW w:type="dxa" w:w="2232"/>
            <w:vAlign w:val="center"/>
          </w:tcPr>
          <w:p>
            <w:pPr>
              <w:spacing w:after="0"/>
            </w:pPr>
            <w:r/>
            <w:r>
              <w:rPr>
                <w:b w:val="0"/>
              </w:rPr>
              <w:t>Mortgage</w:t>
            </w:r>
          </w:p>
        </w:tc>
        <w:tc>
          <w:tcPr>
            <w:tcW w:type="dxa" w:w="3384"/>
            <w:vAlign w:val="center"/>
          </w:tcPr>
          <w:p>
            <w:pPr>
              <w:spacing w:after="0"/>
            </w:pPr>
            <w:r/>
            <w:r>
              <w:rPr>
                <w:b w:val="0"/>
              </w:rPr>
              <w:t>CMHC Insurance Calculator</w:t>
            </w:r>
          </w:p>
        </w:tc>
        <w:tc>
          <w:tcPr>
            <w:tcW w:type="dxa" w:w="5328"/>
            <w:vAlign w:val="center"/>
          </w:tcPr>
          <w:p>
            <w:pPr>
              <w:spacing w:after="0"/>
            </w:pPr>
            <w:r/>
            <w:r>
              <w:rPr>
                <w:b w:val="0"/>
              </w:rPr>
              <w:t>High Canada mortgage SEO value</w:t>
            </w:r>
          </w:p>
        </w:tc>
      </w:tr>
      <w:tr>
        <w:tc>
          <w:tcPr>
            <w:tcW w:type="dxa" w:w="2232"/>
            <w:vAlign w:val="center"/>
          </w:tcPr>
          <w:p>
            <w:pPr>
              <w:spacing w:after="0"/>
            </w:pPr>
            <w:r/>
            <w:r>
              <w:rPr>
                <w:b w:val="0"/>
              </w:rPr>
              <w:t>Mortgage</w:t>
            </w:r>
          </w:p>
        </w:tc>
        <w:tc>
          <w:tcPr>
            <w:tcW w:type="dxa" w:w="3384"/>
            <w:vAlign w:val="center"/>
          </w:tcPr>
          <w:p>
            <w:pPr>
              <w:spacing w:after="0"/>
            </w:pPr>
            <w:r/>
            <w:r>
              <w:rPr>
                <w:b w:val="0"/>
              </w:rPr>
              <w:t>Rent vs. Buy Calculator</w:t>
            </w:r>
          </w:p>
        </w:tc>
        <w:tc>
          <w:tcPr>
            <w:tcW w:type="dxa" w:w="5328"/>
            <w:vAlign w:val="center"/>
          </w:tcPr>
          <w:p>
            <w:pPr>
              <w:spacing w:after="0"/>
            </w:pPr>
            <w:r/>
            <w:r>
              <w:rPr>
                <w:b w:val="0"/>
              </w:rPr>
              <w:t>Strong user decision intent</w:t>
            </w:r>
          </w:p>
        </w:tc>
      </w:tr>
      <w:tr>
        <w:tc>
          <w:tcPr>
            <w:tcW w:type="dxa" w:w="2232"/>
            <w:vAlign w:val="center"/>
          </w:tcPr>
          <w:p>
            <w:pPr>
              <w:spacing w:after="0"/>
            </w:pPr>
            <w:r/>
            <w:r>
              <w:rPr>
                <w:b w:val="0"/>
              </w:rPr>
              <w:t>Mortgage</w:t>
            </w:r>
          </w:p>
        </w:tc>
        <w:tc>
          <w:tcPr>
            <w:tcW w:type="dxa" w:w="3384"/>
            <w:vAlign w:val="center"/>
          </w:tcPr>
          <w:p>
            <w:pPr>
              <w:spacing w:after="0"/>
            </w:pPr>
            <w:r/>
            <w:r>
              <w:rPr>
                <w:b w:val="0"/>
              </w:rPr>
              <w:t>Mortgage Refinance Calculator</w:t>
            </w:r>
          </w:p>
        </w:tc>
        <w:tc>
          <w:tcPr>
            <w:tcW w:type="dxa" w:w="5328"/>
            <w:vAlign w:val="center"/>
          </w:tcPr>
          <w:p>
            <w:pPr>
              <w:spacing w:after="0"/>
            </w:pPr>
            <w:r/>
            <w:r>
              <w:rPr>
                <w:b w:val="0"/>
              </w:rPr>
              <w:t>Useful expansion from mortgage foundation</w:t>
            </w:r>
          </w:p>
        </w:tc>
      </w:tr>
      <w:tr>
        <w:tc>
          <w:tcPr>
            <w:tcW w:type="dxa" w:w="2232"/>
            <w:vAlign w:val="center"/>
          </w:tcPr>
          <w:p>
            <w:pPr>
              <w:spacing w:after="0"/>
            </w:pPr>
            <w:r/>
            <w:r>
              <w:rPr>
                <w:b w:val="0"/>
              </w:rPr>
              <w:t>Financial Planning</w:t>
            </w:r>
          </w:p>
        </w:tc>
        <w:tc>
          <w:tcPr>
            <w:tcW w:type="dxa" w:w="3384"/>
            <w:vAlign w:val="center"/>
          </w:tcPr>
          <w:p>
            <w:pPr>
              <w:spacing w:after="0"/>
            </w:pPr>
            <w:r/>
            <w:r>
              <w:rPr>
                <w:b w:val="0"/>
              </w:rPr>
              <w:t>Net Worth Calculator</w:t>
            </w:r>
          </w:p>
        </w:tc>
        <w:tc>
          <w:tcPr>
            <w:tcW w:type="dxa" w:w="5328"/>
            <w:vAlign w:val="center"/>
          </w:tcPr>
          <w:p>
            <w:pPr>
              <w:spacing w:after="0"/>
            </w:pPr>
            <w:r/>
            <w:r>
              <w:rPr>
                <w:b w:val="0"/>
              </w:rPr>
              <w:t>Simple, broad planning tool</w:t>
            </w:r>
          </w:p>
        </w:tc>
      </w:tr>
      <w:tr>
        <w:tc>
          <w:tcPr>
            <w:tcW w:type="dxa" w:w="2232"/>
            <w:vAlign w:val="center"/>
          </w:tcPr>
          <w:p>
            <w:pPr>
              <w:spacing w:after="0"/>
            </w:pPr>
            <w:r/>
            <w:r>
              <w:rPr>
                <w:b w:val="0"/>
              </w:rPr>
              <w:t>Financial Planning</w:t>
            </w:r>
          </w:p>
        </w:tc>
        <w:tc>
          <w:tcPr>
            <w:tcW w:type="dxa" w:w="3384"/>
            <w:vAlign w:val="center"/>
          </w:tcPr>
          <w:p>
            <w:pPr>
              <w:spacing w:after="0"/>
            </w:pPr>
            <w:r/>
            <w:r>
              <w:rPr>
                <w:b w:val="0"/>
              </w:rPr>
              <w:t>Emergency Fund Calculator</w:t>
            </w:r>
          </w:p>
        </w:tc>
        <w:tc>
          <w:tcPr>
            <w:tcW w:type="dxa" w:w="5328"/>
            <w:vAlign w:val="center"/>
          </w:tcPr>
          <w:p>
            <w:pPr>
              <w:spacing w:after="0"/>
            </w:pPr>
            <w:r/>
            <w:r>
              <w:rPr>
                <w:b w:val="0"/>
              </w:rPr>
              <w:t>High usefulness and simple logic</w:t>
            </w:r>
          </w:p>
        </w:tc>
      </w:tr>
      <w:tr>
        <w:tc>
          <w:tcPr>
            <w:tcW w:type="dxa" w:w="2232"/>
            <w:vAlign w:val="center"/>
          </w:tcPr>
          <w:p>
            <w:pPr>
              <w:spacing w:after="0"/>
            </w:pPr>
            <w:r/>
            <w:r>
              <w:rPr>
                <w:b w:val="0"/>
              </w:rPr>
              <w:t>Financial Planning</w:t>
            </w:r>
          </w:p>
        </w:tc>
        <w:tc>
          <w:tcPr>
            <w:tcW w:type="dxa" w:w="3384"/>
            <w:vAlign w:val="center"/>
          </w:tcPr>
          <w:p>
            <w:pPr>
              <w:spacing w:after="0"/>
            </w:pPr>
            <w:r/>
            <w:r>
              <w:rPr>
                <w:b w:val="0"/>
              </w:rPr>
              <w:t>TFSA Calculator</w:t>
            </w:r>
          </w:p>
        </w:tc>
        <w:tc>
          <w:tcPr>
            <w:tcW w:type="dxa" w:w="5328"/>
            <w:vAlign w:val="center"/>
          </w:tcPr>
          <w:p>
            <w:pPr>
              <w:spacing w:after="0"/>
            </w:pPr>
            <w:r/>
            <w:r>
              <w:rPr>
                <w:b w:val="0"/>
              </w:rPr>
              <w:t>Canada-focused planning value</w:t>
            </w:r>
          </w:p>
        </w:tc>
      </w:tr>
      <w:tr>
        <w:tc>
          <w:tcPr>
            <w:tcW w:type="dxa" w:w="2232"/>
            <w:vAlign w:val="center"/>
          </w:tcPr>
          <w:p>
            <w:pPr>
              <w:spacing w:after="0"/>
            </w:pPr>
            <w:r/>
            <w:r>
              <w:rPr>
                <w:b w:val="0"/>
              </w:rPr>
              <w:t>Financial Planning</w:t>
            </w:r>
          </w:p>
        </w:tc>
        <w:tc>
          <w:tcPr>
            <w:tcW w:type="dxa" w:w="3384"/>
            <w:vAlign w:val="center"/>
          </w:tcPr>
          <w:p>
            <w:pPr>
              <w:spacing w:after="0"/>
            </w:pPr>
            <w:r/>
            <w:r>
              <w:rPr>
                <w:b w:val="0"/>
              </w:rPr>
              <w:t>RRSP Savings Calculator</w:t>
            </w:r>
          </w:p>
        </w:tc>
        <w:tc>
          <w:tcPr>
            <w:tcW w:type="dxa" w:w="5328"/>
            <w:vAlign w:val="center"/>
          </w:tcPr>
          <w:p>
            <w:pPr>
              <w:spacing w:after="0"/>
            </w:pPr>
            <w:r/>
            <w:r>
              <w:rPr>
                <w:b w:val="0"/>
              </w:rPr>
              <w:t>Canada-focused retirement/savings bridge</w:t>
            </w:r>
          </w:p>
        </w:tc>
      </w:tr>
      <w:tr>
        <w:tc>
          <w:tcPr>
            <w:tcW w:type="dxa" w:w="2232"/>
            <w:vAlign w:val="center"/>
          </w:tcPr>
          <w:p>
            <w:pPr>
              <w:spacing w:after="0"/>
            </w:pPr>
            <w:r/>
            <w:r>
              <w:rPr>
                <w:b w:val="0"/>
              </w:rPr>
              <w:t>Investing</w:t>
            </w:r>
          </w:p>
        </w:tc>
        <w:tc>
          <w:tcPr>
            <w:tcW w:type="dxa" w:w="3384"/>
            <w:vAlign w:val="center"/>
          </w:tcPr>
          <w:p>
            <w:pPr>
              <w:spacing w:after="0"/>
            </w:pPr>
            <w:r/>
            <w:r>
              <w:rPr>
                <w:b w:val="0"/>
              </w:rPr>
              <w:t>Compound Interest Calculator</w:t>
            </w:r>
          </w:p>
        </w:tc>
        <w:tc>
          <w:tcPr>
            <w:tcW w:type="dxa" w:w="5328"/>
            <w:vAlign w:val="center"/>
          </w:tcPr>
          <w:p>
            <w:pPr>
              <w:spacing w:after="0"/>
            </w:pPr>
            <w:r/>
            <w:r>
              <w:rPr>
                <w:b w:val="0"/>
              </w:rPr>
              <w:t>Core reusable investment math</w:t>
            </w:r>
          </w:p>
        </w:tc>
      </w:tr>
      <w:tr>
        <w:tc>
          <w:tcPr>
            <w:tcW w:type="dxa" w:w="2232"/>
            <w:vAlign w:val="center"/>
          </w:tcPr>
          <w:p>
            <w:pPr>
              <w:spacing w:after="0"/>
            </w:pPr>
            <w:r/>
            <w:r>
              <w:rPr>
                <w:b w:val="0"/>
              </w:rPr>
              <w:t>Investing</w:t>
            </w:r>
          </w:p>
        </w:tc>
        <w:tc>
          <w:tcPr>
            <w:tcW w:type="dxa" w:w="3384"/>
            <w:vAlign w:val="center"/>
          </w:tcPr>
          <w:p>
            <w:pPr>
              <w:spacing w:after="0"/>
            </w:pPr>
            <w:r/>
            <w:r>
              <w:rPr>
                <w:b w:val="0"/>
              </w:rPr>
              <w:t>ROI Calculator</w:t>
            </w:r>
          </w:p>
        </w:tc>
        <w:tc>
          <w:tcPr>
            <w:tcW w:type="dxa" w:w="5328"/>
            <w:vAlign w:val="center"/>
          </w:tcPr>
          <w:p>
            <w:pPr>
              <w:spacing w:after="0"/>
            </w:pPr>
            <w:r/>
            <w:r>
              <w:rPr>
                <w:b w:val="0"/>
              </w:rPr>
              <w:t>Broad SEO and business/finance use</w:t>
            </w:r>
          </w:p>
        </w:tc>
      </w:tr>
      <w:tr>
        <w:tc>
          <w:tcPr>
            <w:tcW w:type="dxa" w:w="2232"/>
            <w:vAlign w:val="center"/>
          </w:tcPr>
          <w:p>
            <w:pPr>
              <w:spacing w:after="0"/>
            </w:pPr>
            <w:r/>
            <w:r>
              <w:rPr>
                <w:b w:val="0"/>
              </w:rPr>
              <w:t>Investing</w:t>
            </w:r>
          </w:p>
        </w:tc>
        <w:tc>
          <w:tcPr>
            <w:tcW w:type="dxa" w:w="3384"/>
            <w:vAlign w:val="center"/>
          </w:tcPr>
          <w:p>
            <w:pPr>
              <w:spacing w:after="0"/>
            </w:pPr>
            <w:r/>
            <w:r>
              <w:rPr>
                <w:b w:val="0"/>
              </w:rPr>
              <w:t>Investment Fees Calculator</w:t>
            </w:r>
          </w:p>
        </w:tc>
        <w:tc>
          <w:tcPr>
            <w:tcW w:type="dxa" w:w="5328"/>
            <w:vAlign w:val="center"/>
          </w:tcPr>
          <w:p>
            <w:pPr>
              <w:spacing w:after="0"/>
            </w:pPr>
            <w:r/>
            <w:r>
              <w:rPr>
                <w:b w:val="0"/>
              </w:rPr>
              <w:t>Strong AI Analysis potential</w:t>
            </w:r>
          </w:p>
        </w:tc>
      </w:tr>
      <w:tr>
        <w:tc>
          <w:tcPr>
            <w:tcW w:type="dxa" w:w="2232"/>
            <w:vAlign w:val="center"/>
          </w:tcPr>
          <w:p>
            <w:pPr>
              <w:spacing w:after="0"/>
            </w:pPr>
            <w:r/>
            <w:r>
              <w:rPr>
                <w:b w:val="0"/>
              </w:rPr>
              <w:t>Investing</w:t>
            </w:r>
          </w:p>
        </w:tc>
        <w:tc>
          <w:tcPr>
            <w:tcW w:type="dxa" w:w="3384"/>
            <w:vAlign w:val="center"/>
          </w:tcPr>
          <w:p>
            <w:pPr>
              <w:spacing w:after="0"/>
            </w:pPr>
            <w:r/>
            <w:r>
              <w:rPr>
                <w:b w:val="0"/>
              </w:rPr>
              <w:t>Rule of 72 Calculator</w:t>
            </w:r>
          </w:p>
        </w:tc>
        <w:tc>
          <w:tcPr>
            <w:tcW w:type="dxa" w:w="5328"/>
            <w:vAlign w:val="center"/>
          </w:tcPr>
          <w:p>
            <w:pPr>
              <w:spacing w:after="0"/>
            </w:pPr>
            <w:r/>
            <w:r>
              <w:rPr>
                <w:b w:val="0"/>
              </w:rPr>
              <w:t>Simple educational calculator</w:t>
            </w:r>
          </w:p>
        </w:tc>
      </w:tr>
      <w:tr>
        <w:tc>
          <w:tcPr>
            <w:tcW w:type="dxa" w:w="2232"/>
            <w:vAlign w:val="center"/>
          </w:tcPr>
          <w:p>
            <w:pPr>
              <w:spacing w:after="0"/>
            </w:pPr>
            <w:r/>
            <w:r>
              <w:rPr>
                <w:b w:val="0"/>
              </w:rPr>
              <w:t>Retirement</w:t>
            </w:r>
          </w:p>
        </w:tc>
        <w:tc>
          <w:tcPr>
            <w:tcW w:type="dxa" w:w="3384"/>
            <w:vAlign w:val="center"/>
          </w:tcPr>
          <w:p>
            <w:pPr>
              <w:spacing w:after="0"/>
            </w:pPr>
            <w:r/>
            <w:r>
              <w:rPr>
                <w:b w:val="0"/>
              </w:rPr>
              <w:t>FIRE Calculator</w:t>
            </w:r>
          </w:p>
        </w:tc>
        <w:tc>
          <w:tcPr>
            <w:tcW w:type="dxa" w:w="5328"/>
            <w:vAlign w:val="center"/>
          </w:tcPr>
          <w:p>
            <w:pPr>
              <w:spacing w:after="0"/>
            </w:pPr>
            <w:r/>
            <w:r>
              <w:rPr>
                <w:b w:val="0"/>
              </w:rPr>
              <w:t>High-value planning calculator</w:t>
            </w:r>
          </w:p>
        </w:tc>
      </w:tr>
      <w:tr>
        <w:tc>
          <w:tcPr>
            <w:tcW w:type="dxa" w:w="2232"/>
            <w:vAlign w:val="center"/>
          </w:tcPr>
          <w:p>
            <w:pPr>
              <w:spacing w:after="0"/>
            </w:pPr>
            <w:r/>
            <w:r>
              <w:rPr>
                <w:b w:val="0"/>
              </w:rPr>
              <w:t>Retirement</w:t>
            </w:r>
          </w:p>
        </w:tc>
        <w:tc>
          <w:tcPr>
            <w:tcW w:type="dxa" w:w="3384"/>
            <w:vAlign w:val="center"/>
          </w:tcPr>
          <w:p>
            <w:pPr>
              <w:spacing w:after="0"/>
            </w:pPr>
            <w:r/>
            <w:r>
              <w:rPr>
                <w:b w:val="0"/>
              </w:rPr>
              <w:t>Retirement Planning Calculator</w:t>
            </w:r>
          </w:p>
        </w:tc>
        <w:tc>
          <w:tcPr>
            <w:tcW w:type="dxa" w:w="5328"/>
            <w:vAlign w:val="center"/>
          </w:tcPr>
          <w:p>
            <w:pPr>
              <w:spacing w:after="0"/>
            </w:pPr>
            <w:r/>
            <w:r>
              <w:rPr>
                <w:b w:val="0"/>
              </w:rPr>
              <w:t>Core retirement category page</w:t>
            </w:r>
          </w:p>
        </w:tc>
      </w:tr>
      <w:tr>
        <w:tc>
          <w:tcPr>
            <w:tcW w:type="dxa" w:w="2232"/>
            <w:vAlign w:val="center"/>
          </w:tcPr>
          <w:p>
            <w:pPr>
              <w:spacing w:after="0"/>
            </w:pPr>
            <w:r/>
            <w:r>
              <w:rPr>
                <w:b w:val="0"/>
              </w:rPr>
              <w:t>Retirement</w:t>
            </w:r>
          </w:p>
        </w:tc>
        <w:tc>
          <w:tcPr>
            <w:tcW w:type="dxa" w:w="3384"/>
            <w:vAlign w:val="center"/>
          </w:tcPr>
          <w:p>
            <w:pPr>
              <w:spacing w:after="0"/>
            </w:pPr>
            <w:r/>
            <w:r>
              <w:rPr>
                <w:b w:val="0"/>
              </w:rPr>
              <w:t>Retirement Withdrawal Calculator</w:t>
            </w:r>
          </w:p>
        </w:tc>
        <w:tc>
          <w:tcPr>
            <w:tcW w:type="dxa" w:w="5328"/>
            <w:vAlign w:val="center"/>
          </w:tcPr>
          <w:p>
            <w:pPr>
              <w:spacing w:after="0"/>
            </w:pPr>
            <w:r/>
            <w:r>
              <w:rPr>
                <w:b w:val="0"/>
              </w:rPr>
              <w:t>Useful retirement decision tool</w:t>
            </w:r>
          </w:p>
        </w:tc>
      </w:tr>
      <w:tr>
        <w:tc>
          <w:tcPr>
            <w:tcW w:type="dxa" w:w="2232"/>
            <w:vAlign w:val="center"/>
          </w:tcPr>
          <w:p>
            <w:pPr>
              <w:spacing w:after="0"/>
            </w:pPr>
            <w:r/>
            <w:r>
              <w:rPr>
                <w:b w:val="0"/>
              </w:rPr>
              <w:t>Loans</w:t>
            </w:r>
          </w:p>
        </w:tc>
        <w:tc>
          <w:tcPr>
            <w:tcW w:type="dxa" w:w="3384"/>
            <w:vAlign w:val="center"/>
          </w:tcPr>
          <w:p>
            <w:pPr>
              <w:spacing w:after="0"/>
            </w:pPr>
            <w:r/>
            <w:r>
              <w:rPr>
                <w:b w:val="0"/>
              </w:rPr>
              <w:t>Personal Loan Calculator</w:t>
            </w:r>
          </w:p>
        </w:tc>
        <w:tc>
          <w:tcPr>
            <w:tcW w:type="dxa" w:w="5328"/>
            <w:vAlign w:val="center"/>
          </w:tcPr>
          <w:p>
            <w:pPr>
              <w:spacing w:after="0"/>
            </w:pPr>
            <w:r/>
            <w:r>
              <w:rPr>
                <w:b w:val="0"/>
              </w:rPr>
              <w:t>Best first new build candidate</w:t>
            </w:r>
          </w:p>
        </w:tc>
      </w:tr>
      <w:tr>
        <w:tc>
          <w:tcPr>
            <w:tcW w:type="dxa" w:w="2232"/>
            <w:vAlign w:val="center"/>
          </w:tcPr>
          <w:p>
            <w:pPr>
              <w:spacing w:after="0"/>
            </w:pPr>
            <w:r/>
            <w:r>
              <w:rPr>
                <w:b w:val="0"/>
              </w:rPr>
              <w:t>Loans</w:t>
            </w:r>
          </w:p>
        </w:tc>
        <w:tc>
          <w:tcPr>
            <w:tcW w:type="dxa" w:w="3384"/>
            <w:vAlign w:val="center"/>
          </w:tcPr>
          <w:p>
            <w:pPr>
              <w:spacing w:after="0"/>
            </w:pPr>
            <w:r/>
            <w:r>
              <w:rPr>
                <w:b w:val="0"/>
              </w:rPr>
              <w:t>Car Loan Calculator</w:t>
            </w:r>
          </w:p>
        </w:tc>
        <w:tc>
          <w:tcPr>
            <w:tcW w:type="dxa" w:w="5328"/>
            <w:vAlign w:val="center"/>
          </w:tcPr>
          <w:p>
            <w:pPr>
              <w:spacing w:after="0"/>
            </w:pPr>
            <w:r/>
            <w:r>
              <w:rPr>
                <w:b w:val="0"/>
              </w:rPr>
              <w:t>High search demand and simple flow</w:t>
            </w:r>
          </w:p>
        </w:tc>
      </w:tr>
      <w:tr>
        <w:tc>
          <w:tcPr>
            <w:tcW w:type="dxa" w:w="2232"/>
            <w:vAlign w:val="center"/>
          </w:tcPr>
          <w:p>
            <w:pPr>
              <w:spacing w:after="0"/>
            </w:pPr>
            <w:r/>
            <w:r>
              <w:rPr>
                <w:b w:val="0"/>
              </w:rPr>
              <w:t>Loans</w:t>
            </w:r>
          </w:p>
        </w:tc>
        <w:tc>
          <w:tcPr>
            <w:tcW w:type="dxa" w:w="3384"/>
            <w:vAlign w:val="center"/>
          </w:tcPr>
          <w:p>
            <w:pPr>
              <w:spacing w:after="0"/>
            </w:pPr>
            <w:r/>
            <w:r>
              <w:rPr>
                <w:b w:val="0"/>
              </w:rPr>
              <w:t>Debt Repayment Calculator</w:t>
            </w:r>
          </w:p>
        </w:tc>
        <w:tc>
          <w:tcPr>
            <w:tcW w:type="dxa" w:w="5328"/>
            <w:vAlign w:val="center"/>
          </w:tcPr>
          <w:p>
            <w:pPr>
              <w:spacing w:after="0"/>
            </w:pPr>
            <w:r/>
            <w:r>
              <w:rPr>
                <w:b w:val="0"/>
              </w:rPr>
              <w:t>Strong actionable payoff insights</w:t>
            </w:r>
          </w:p>
        </w:tc>
      </w:tr>
      <w:tr>
        <w:tc>
          <w:tcPr>
            <w:tcW w:type="dxa" w:w="2232"/>
            <w:vAlign w:val="center"/>
          </w:tcPr>
          <w:p>
            <w:pPr>
              <w:spacing w:after="0"/>
            </w:pPr>
            <w:r/>
            <w:r>
              <w:rPr>
                <w:b w:val="0"/>
              </w:rPr>
              <w:t>Loans</w:t>
            </w:r>
          </w:p>
        </w:tc>
        <w:tc>
          <w:tcPr>
            <w:tcW w:type="dxa" w:w="3384"/>
            <w:vAlign w:val="center"/>
          </w:tcPr>
          <w:p>
            <w:pPr>
              <w:spacing w:after="0"/>
            </w:pPr>
            <w:r/>
            <w:r>
              <w:rPr>
                <w:b w:val="0"/>
              </w:rPr>
              <w:t>Credit Card Payoff Calculator</w:t>
            </w:r>
          </w:p>
        </w:tc>
        <w:tc>
          <w:tcPr>
            <w:tcW w:type="dxa" w:w="5328"/>
            <w:vAlign w:val="center"/>
          </w:tcPr>
          <w:p>
            <w:pPr>
              <w:spacing w:after="0"/>
            </w:pPr>
            <w:r/>
            <w:r>
              <w:rPr>
                <w:b w:val="0"/>
              </w:rPr>
              <w:t>High pain-point calculator</w:t>
            </w:r>
          </w:p>
        </w:tc>
      </w:tr>
      <w:tr>
        <w:tc>
          <w:tcPr>
            <w:tcW w:type="dxa" w:w="2232"/>
            <w:vAlign w:val="center"/>
          </w:tcPr>
          <w:p>
            <w:pPr>
              <w:spacing w:after="0"/>
            </w:pPr>
            <w:r/>
            <w:r>
              <w:rPr>
                <w:b w:val="0"/>
              </w:rPr>
              <w:t>Tax &amp; Salary</w:t>
            </w:r>
          </w:p>
        </w:tc>
        <w:tc>
          <w:tcPr>
            <w:tcW w:type="dxa" w:w="3384"/>
            <w:vAlign w:val="center"/>
          </w:tcPr>
          <w:p>
            <w:pPr>
              <w:spacing w:after="0"/>
            </w:pPr>
            <w:r/>
            <w:r>
              <w:rPr>
                <w:b w:val="0"/>
              </w:rPr>
              <w:t>Income Tax Calculator</w:t>
            </w:r>
          </w:p>
        </w:tc>
        <w:tc>
          <w:tcPr>
            <w:tcW w:type="dxa" w:w="5328"/>
            <w:vAlign w:val="center"/>
          </w:tcPr>
          <w:p>
            <w:pPr>
              <w:spacing w:after="0"/>
            </w:pPr>
            <w:r/>
            <w:r>
              <w:rPr>
                <w:b w:val="0"/>
              </w:rPr>
              <w:t>Core tax category calculator</w:t>
            </w:r>
          </w:p>
        </w:tc>
      </w:tr>
      <w:tr>
        <w:tc>
          <w:tcPr>
            <w:tcW w:type="dxa" w:w="2232"/>
            <w:vAlign w:val="center"/>
          </w:tcPr>
          <w:p>
            <w:pPr>
              <w:spacing w:after="0"/>
            </w:pPr>
            <w:r/>
            <w:r>
              <w:rPr>
                <w:b w:val="0"/>
              </w:rPr>
              <w:t>Tax &amp; Salary</w:t>
            </w:r>
          </w:p>
        </w:tc>
        <w:tc>
          <w:tcPr>
            <w:tcW w:type="dxa" w:w="3384"/>
            <w:vAlign w:val="center"/>
          </w:tcPr>
          <w:p>
            <w:pPr>
              <w:spacing w:after="0"/>
            </w:pPr>
            <w:r/>
            <w:r>
              <w:rPr>
                <w:b w:val="0"/>
              </w:rPr>
              <w:t>Salary Calculator</w:t>
            </w:r>
          </w:p>
        </w:tc>
        <w:tc>
          <w:tcPr>
            <w:tcW w:type="dxa" w:w="5328"/>
            <w:vAlign w:val="center"/>
          </w:tcPr>
          <w:p>
            <w:pPr>
              <w:spacing w:after="0"/>
            </w:pPr>
            <w:r/>
            <w:r>
              <w:rPr>
                <w:b w:val="0"/>
              </w:rPr>
              <w:t>Broad salary planning use</w:t>
            </w:r>
          </w:p>
        </w:tc>
      </w:tr>
      <w:tr>
        <w:tc>
          <w:tcPr>
            <w:tcW w:type="dxa" w:w="2232"/>
            <w:vAlign w:val="center"/>
          </w:tcPr>
          <w:p>
            <w:pPr>
              <w:spacing w:after="0"/>
            </w:pPr>
            <w:r/>
            <w:r>
              <w:rPr>
                <w:b w:val="0"/>
              </w:rPr>
              <w:t>Tax &amp; Salary</w:t>
            </w:r>
          </w:p>
        </w:tc>
        <w:tc>
          <w:tcPr>
            <w:tcW w:type="dxa" w:w="3384"/>
            <w:vAlign w:val="center"/>
          </w:tcPr>
          <w:p>
            <w:pPr>
              <w:spacing w:after="0"/>
            </w:pPr>
            <w:r/>
            <w:r>
              <w:rPr>
                <w:b w:val="0"/>
              </w:rPr>
              <w:t>Sales Tax Calculator</w:t>
            </w:r>
          </w:p>
        </w:tc>
        <w:tc>
          <w:tcPr>
            <w:tcW w:type="dxa" w:w="5328"/>
            <w:vAlign w:val="center"/>
          </w:tcPr>
          <w:p>
            <w:pPr>
              <w:spacing w:after="0"/>
            </w:pPr>
            <w:r/>
            <w:r>
              <w:rPr>
                <w:b w:val="0"/>
              </w:rPr>
              <w:t>Simple and useful</w:t>
            </w:r>
          </w:p>
        </w:tc>
      </w:tr>
    </w:tbl>
    <w:p/>
    <w:p>
      <w:pPr>
        <w:pStyle w:val="Heading1"/>
      </w:pPr>
      <w:r>
        <w:t>5. Recommended Build Order</w:t>
      </w:r>
    </w:p>
    <w:p>
      <w:r>
        <w:t>Do not build all Phase 1 calculators at once. Build one calculator, QA it, then reuse the improved workflow for the next calculator.</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0C4261"/>
          </w:tcPr>
          <w:p>
            <w:pPr>
              <w:spacing w:after="0"/>
            </w:pPr>
            <w:r/>
            <w:r>
              <w:rPr>
                <w:b/>
                <w:color w:val="FFFFFF"/>
              </w:rPr>
              <w:t>Order</w:t>
            </w:r>
          </w:p>
        </w:tc>
        <w:tc>
          <w:tcPr>
            <w:tcW w:type="dxa" w:w="3456"/>
            <w:vAlign w:val="center"/>
            <w:shd w:fill="0C4261"/>
          </w:tcPr>
          <w:p>
            <w:pPr>
              <w:spacing w:after="0"/>
            </w:pPr>
            <w:r/>
            <w:r>
              <w:rPr>
                <w:b/>
                <w:color w:val="FFFFFF"/>
              </w:rPr>
              <w:t>Calculator</w:t>
            </w:r>
          </w:p>
        </w:tc>
        <w:tc>
          <w:tcPr>
            <w:tcW w:type="dxa" w:w="6264"/>
            <w:vAlign w:val="center"/>
            <w:shd w:fill="0C4261"/>
          </w:tcPr>
          <w:p>
            <w:pPr>
              <w:spacing w:after="0"/>
            </w:pPr>
            <w:r/>
            <w:r>
              <w:rPr>
                <w:b/>
                <w:color w:val="FFFFFF"/>
              </w:rPr>
              <w:t>Reason</w:t>
            </w:r>
          </w:p>
        </w:tc>
      </w:tr>
      <w:tr>
        <w:tc>
          <w:tcPr>
            <w:tcW w:type="dxa" w:w="1152"/>
            <w:vAlign w:val="center"/>
          </w:tcPr>
          <w:p>
            <w:pPr>
              <w:spacing w:after="0"/>
            </w:pPr>
            <w:r/>
            <w:r>
              <w:rPr>
                <w:b w:val="0"/>
              </w:rPr>
              <w:t>1</w:t>
            </w:r>
          </w:p>
        </w:tc>
        <w:tc>
          <w:tcPr>
            <w:tcW w:type="dxa" w:w="3456"/>
            <w:vAlign w:val="center"/>
          </w:tcPr>
          <w:p>
            <w:pPr>
              <w:spacing w:after="0"/>
            </w:pPr>
            <w:r/>
            <w:r>
              <w:rPr>
                <w:b w:val="0"/>
              </w:rPr>
              <w:t>Personal Loan Calculator</w:t>
            </w:r>
          </w:p>
        </w:tc>
        <w:tc>
          <w:tcPr>
            <w:tcW w:type="dxa" w:w="6264"/>
            <w:vAlign w:val="center"/>
          </w:tcPr>
          <w:p>
            <w:pPr>
              <w:spacing w:after="0"/>
            </w:pPr>
            <w:r/>
            <w:r>
              <w:rPr>
                <w:b w:val="0"/>
              </w:rPr>
              <w:t>Simple, country-neutral, and proves the V2 build-from-scratch workflow.</w:t>
            </w:r>
          </w:p>
        </w:tc>
      </w:tr>
      <w:tr>
        <w:tc>
          <w:tcPr>
            <w:tcW w:type="dxa" w:w="1152"/>
            <w:vAlign w:val="center"/>
          </w:tcPr>
          <w:p>
            <w:pPr>
              <w:spacing w:after="0"/>
            </w:pPr>
            <w:r/>
            <w:r>
              <w:rPr>
                <w:b w:val="0"/>
              </w:rPr>
              <w:t>2</w:t>
            </w:r>
          </w:p>
        </w:tc>
        <w:tc>
          <w:tcPr>
            <w:tcW w:type="dxa" w:w="3456"/>
            <w:vAlign w:val="center"/>
          </w:tcPr>
          <w:p>
            <w:pPr>
              <w:spacing w:after="0"/>
            </w:pPr>
            <w:r/>
            <w:r>
              <w:rPr>
                <w:b w:val="0"/>
              </w:rPr>
              <w:t>Car Loan Calculator</w:t>
            </w:r>
          </w:p>
        </w:tc>
        <w:tc>
          <w:tcPr>
            <w:tcW w:type="dxa" w:w="6264"/>
            <w:vAlign w:val="center"/>
          </w:tcPr>
          <w:p>
            <w:pPr>
              <w:spacing w:after="0"/>
            </w:pPr>
            <w:r/>
            <w:r>
              <w:rPr>
                <w:b w:val="0"/>
              </w:rPr>
              <w:t>Similar logic to loans, but strong SEO and practical user value.</w:t>
            </w:r>
          </w:p>
        </w:tc>
      </w:tr>
      <w:tr>
        <w:tc>
          <w:tcPr>
            <w:tcW w:type="dxa" w:w="1152"/>
            <w:vAlign w:val="center"/>
          </w:tcPr>
          <w:p>
            <w:pPr>
              <w:spacing w:after="0"/>
            </w:pPr>
            <w:r/>
            <w:r>
              <w:rPr>
                <w:b w:val="0"/>
              </w:rPr>
              <w:t>3</w:t>
            </w:r>
          </w:p>
        </w:tc>
        <w:tc>
          <w:tcPr>
            <w:tcW w:type="dxa" w:w="3456"/>
            <w:vAlign w:val="center"/>
          </w:tcPr>
          <w:p>
            <w:pPr>
              <w:spacing w:after="0"/>
            </w:pPr>
            <w:r/>
            <w:r>
              <w:rPr>
                <w:b w:val="0"/>
              </w:rPr>
              <w:t>Compound Interest Calculator</w:t>
            </w:r>
          </w:p>
        </w:tc>
        <w:tc>
          <w:tcPr>
            <w:tcW w:type="dxa" w:w="6264"/>
            <w:vAlign w:val="center"/>
          </w:tcPr>
          <w:p>
            <w:pPr>
              <w:spacing w:after="0"/>
            </w:pPr>
            <w:r/>
            <w:r>
              <w:rPr>
                <w:b w:val="0"/>
              </w:rPr>
              <w:t>Core investing/planning calculator with strong visual and AI Analysis potential.</w:t>
            </w:r>
          </w:p>
        </w:tc>
      </w:tr>
      <w:tr>
        <w:tc>
          <w:tcPr>
            <w:tcW w:type="dxa" w:w="1152"/>
            <w:vAlign w:val="center"/>
          </w:tcPr>
          <w:p>
            <w:pPr>
              <w:spacing w:after="0"/>
            </w:pPr>
            <w:r/>
            <w:r>
              <w:rPr>
                <w:b w:val="0"/>
              </w:rPr>
              <w:t>4</w:t>
            </w:r>
          </w:p>
        </w:tc>
        <w:tc>
          <w:tcPr>
            <w:tcW w:type="dxa" w:w="3456"/>
            <w:vAlign w:val="center"/>
          </w:tcPr>
          <w:p>
            <w:pPr>
              <w:spacing w:after="0"/>
            </w:pPr>
            <w:r/>
            <w:r>
              <w:rPr>
                <w:b w:val="0"/>
              </w:rPr>
              <w:t>Debt Repayment Calculator</w:t>
            </w:r>
          </w:p>
        </w:tc>
        <w:tc>
          <w:tcPr>
            <w:tcW w:type="dxa" w:w="6264"/>
            <w:vAlign w:val="center"/>
          </w:tcPr>
          <w:p>
            <w:pPr>
              <w:spacing w:after="0"/>
            </w:pPr>
            <w:r/>
            <w:r>
              <w:rPr>
                <w:b w:val="0"/>
              </w:rPr>
              <w:t>Strong product value because AI Analysis can recommend payoff strategy.</w:t>
            </w:r>
          </w:p>
        </w:tc>
      </w:tr>
      <w:tr>
        <w:tc>
          <w:tcPr>
            <w:tcW w:type="dxa" w:w="1152"/>
            <w:vAlign w:val="center"/>
          </w:tcPr>
          <w:p>
            <w:pPr>
              <w:spacing w:after="0"/>
            </w:pPr>
            <w:r/>
            <w:r>
              <w:rPr>
                <w:b w:val="0"/>
              </w:rPr>
              <w:t>5</w:t>
            </w:r>
          </w:p>
        </w:tc>
        <w:tc>
          <w:tcPr>
            <w:tcW w:type="dxa" w:w="3456"/>
            <w:vAlign w:val="center"/>
          </w:tcPr>
          <w:p>
            <w:pPr>
              <w:spacing w:after="0"/>
            </w:pPr>
            <w:r/>
            <w:r>
              <w:rPr>
                <w:b w:val="0"/>
              </w:rPr>
              <w:t>Emergency Fund Calculator</w:t>
            </w:r>
          </w:p>
        </w:tc>
        <w:tc>
          <w:tcPr>
            <w:tcW w:type="dxa" w:w="6264"/>
            <w:vAlign w:val="center"/>
          </w:tcPr>
          <w:p>
            <w:pPr>
              <w:spacing w:after="0"/>
            </w:pPr>
            <w:r/>
            <w:r>
              <w:rPr>
                <w:b w:val="0"/>
              </w:rPr>
              <w:t>Simple and useful; good for Financial Planning category.</w:t>
            </w:r>
          </w:p>
        </w:tc>
      </w:tr>
      <w:tr>
        <w:tc>
          <w:tcPr>
            <w:tcW w:type="dxa" w:w="1152"/>
            <w:vAlign w:val="center"/>
          </w:tcPr>
          <w:p>
            <w:pPr>
              <w:spacing w:after="0"/>
            </w:pPr>
            <w:r/>
            <w:r>
              <w:rPr>
                <w:b w:val="0"/>
              </w:rPr>
              <w:t>6</w:t>
            </w:r>
          </w:p>
        </w:tc>
        <w:tc>
          <w:tcPr>
            <w:tcW w:type="dxa" w:w="3456"/>
            <w:vAlign w:val="center"/>
          </w:tcPr>
          <w:p>
            <w:pPr>
              <w:spacing w:after="0"/>
            </w:pPr>
            <w:r/>
            <w:r>
              <w:rPr>
                <w:b w:val="0"/>
              </w:rPr>
              <w:t>TFSA or RRSP Savings Calculator</w:t>
            </w:r>
          </w:p>
        </w:tc>
        <w:tc>
          <w:tcPr>
            <w:tcW w:type="dxa" w:w="6264"/>
            <w:vAlign w:val="center"/>
          </w:tcPr>
          <w:p>
            <w:pPr>
              <w:spacing w:after="0"/>
            </w:pPr>
            <w:r/>
            <w:r>
              <w:rPr>
                <w:b w:val="0"/>
              </w:rPr>
              <w:t>Canada-focused authority and useful for local SEO.</w:t>
            </w:r>
          </w:p>
        </w:tc>
      </w:tr>
    </w:tbl>
    <w:p/>
    <w:p>
      <w:pPr>
        <w:pStyle w:val="Heading1"/>
      </w:pPr>
      <w:r>
        <w:t>6. Phase 2: Expansion Calculators</w:t>
      </w:r>
    </w:p>
    <w:p>
      <w:r>
        <w:t>Phase 2 should expand after the V2 build workflow is reliable and the core calculator pages are indexed. These calculators are useful, but they are either more niche, more complex, or better after the main categories feel complete.</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0C4261"/>
          </w:tcPr>
          <w:p>
            <w:pPr>
              <w:spacing w:after="0"/>
            </w:pPr>
            <w:r/>
            <w:r>
              <w:rPr>
                <w:b/>
                <w:color w:val="FFFFFF"/>
              </w:rPr>
              <w:t>Category</w:t>
            </w:r>
          </w:p>
        </w:tc>
        <w:tc>
          <w:tcPr>
            <w:tcW w:type="dxa" w:w="8496"/>
            <w:vAlign w:val="center"/>
            <w:shd w:fill="0C4261"/>
          </w:tcPr>
          <w:p>
            <w:pPr>
              <w:spacing w:after="0"/>
            </w:pPr>
            <w:r/>
            <w:r>
              <w:rPr>
                <w:b/>
                <w:color w:val="FFFFFF"/>
              </w:rPr>
              <w:t>Phase 2 Calculator Ideas</w:t>
            </w:r>
          </w:p>
        </w:tc>
      </w:tr>
      <w:tr>
        <w:tc>
          <w:tcPr>
            <w:tcW w:type="dxa" w:w="2448"/>
            <w:vAlign w:val="center"/>
          </w:tcPr>
          <w:p>
            <w:pPr>
              <w:spacing w:after="0"/>
            </w:pPr>
            <w:r/>
            <w:r>
              <w:rPr>
                <w:b w:val="0"/>
              </w:rPr>
              <w:t>Mortgage</w:t>
            </w:r>
          </w:p>
        </w:tc>
        <w:tc>
          <w:tcPr>
            <w:tcW w:type="dxa" w:w="8496"/>
            <w:vAlign w:val="center"/>
          </w:tcPr>
          <w:p>
            <w:pPr>
              <w:spacing w:after="0"/>
            </w:pPr>
            <w:r/>
            <w:r>
              <w:rPr>
                <w:b w:val="0"/>
              </w:rPr>
              <w:t>Extra Mortgage Payment, HELOC, Biweekly Mortgage, Land Transfer Tax</w:t>
            </w:r>
          </w:p>
        </w:tc>
      </w:tr>
      <w:tr>
        <w:tc>
          <w:tcPr>
            <w:tcW w:type="dxa" w:w="2448"/>
            <w:vAlign w:val="center"/>
          </w:tcPr>
          <w:p>
            <w:pPr>
              <w:spacing w:after="0"/>
            </w:pPr>
            <w:r/>
            <w:r>
              <w:rPr>
                <w:b w:val="0"/>
              </w:rPr>
              <w:t>Financial Planning</w:t>
            </w:r>
          </w:p>
        </w:tc>
        <w:tc>
          <w:tcPr>
            <w:tcW w:type="dxa" w:w="8496"/>
            <w:vAlign w:val="center"/>
          </w:tcPr>
          <w:p>
            <w:pPr>
              <w:spacing w:after="0"/>
            </w:pPr>
            <w:r/>
            <w:r>
              <w:rPr>
                <w:b w:val="0"/>
              </w:rPr>
              <w:t>Vacation Savings, Budget Planner, Savings Goal, RRSP Loan</w:t>
            </w:r>
          </w:p>
        </w:tc>
      </w:tr>
      <w:tr>
        <w:tc>
          <w:tcPr>
            <w:tcW w:type="dxa" w:w="2448"/>
            <w:vAlign w:val="center"/>
          </w:tcPr>
          <w:p>
            <w:pPr>
              <w:spacing w:after="0"/>
            </w:pPr>
            <w:r/>
            <w:r>
              <w:rPr>
                <w:b w:val="0"/>
              </w:rPr>
              <w:t>Investing</w:t>
            </w:r>
          </w:p>
        </w:tc>
        <w:tc>
          <w:tcPr>
            <w:tcW w:type="dxa" w:w="8496"/>
            <w:vAlign w:val="center"/>
          </w:tcPr>
          <w:p>
            <w:pPr>
              <w:spacing w:after="0"/>
            </w:pPr>
            <w:r/>
            <w:r>
              <w:rPr>
                <w:b w:val="0"/>
              </w:rPr>
              <w:t>Asset Allocation, Black-Scholes, Dividend Yield, CAGR, Portfolio Rebalancing</w:t>
            </w:r>
          </w:p>
        </w:tc>
      </w:tr>
      <w:tr>
        <w:tc>
          <w:tcPr>
            <w:tcW w:type="dxa" w:w="2448"/>
            <w:vAlign w:val="center"/>
          </w:tcPr>
          <w:p>
            <w:pPr>
              <w:spacing w:after="0"/>
            </w:pPr>
            <w:r/>
            <w:r>
              <w:rPr>
                <w:b w:val="0"/>
              </w:rPr>
              <w:t>Retirement</w:t>
            </w:r>
          </w:p>
        </w:tc>
        <w:tc>
          <w:tcPr>
            <w:tcW w:type="dxa" w:w="8496"/>
            <w:vAlign w:val="center"/>
          </w:tcPr>
          <w:p>
            <w:pPr>
              <w:spacing w:after="0"/>
            </w:pPr>
            <w:r/>
            <w:r>
              <w:rPr>
                <w:b w:val="0"/>
              </w:rPr>
              <w:t>Annuity, Traditional vs Roth IRA, Roth IRA, 401(k) Contribution, 401(k) Save the Max</w:t>
            </w:r>
          </w:p>
        </w:tc>
      </w:tr>
      <w:tr>
        <w:tc>
          <w:tcPr>
            <w:tcW w:type="dxa" w:w="2448"/>
            <w:vAlign w:val="center"/>
          </w:tcPr>
          <w:p>
            <w:pPr>
              <w:spacing w:after="0"/>
            </w:pPr>
            <w:r/>
            <w:r>
              <w:rPr>
                <w:b w:val="0"/>
              </w:rPr>
              <w:t>Loans</w:t>
            </w:r>
          </w:p>
        </w:tc>
        <w:tc>
          <w:tcPr>
            <w:tcW w:type="dxa" w:w="8496"/>
            <w:vAlign w:val="center"/>
          </w:tcPr>
          <w:p>
            <w:pPr>
              <w:spacing w:after="0"/>
            </w:pPr>
            <w:r/>
            <w:r>
              <w:rPr>
                <w:b w:val="0"/>
              </w:rPr>
              <w:t>Student Loan, Car Lease, Simple Interest, Loan Comparison</w:t>
            </w:r>
          </w:p>
        </w:tc>
      </w:tr>
      <w:tr>
        <w:tc>
          <w:tcPr>
            <w:tcW w:type="dxa" w:w="2448"/>
            <w:vAlign w:val="center"/>
          </w:tcPr>
          <w:p>
            <w:pPr>
              <w:spacing w:after="0"/>
            </w:pPr>
            <w:r/>
            <w:r>
              <w:rPr>
                <w:b w:val="0"/>
              </w:rPr>
              <w:t>Tax &amp; Salary</w:t>
            </w:r>
          </w:p>
        </w:tc>
        <w:tc>
          <w:tcPr>
            <w:tcW w:type="dxa" w:w="8496"/>
            <w:vAlign w:val="center"/>
          </w:tcPr>
          <w:p>
            <w:pPr>
              <w:spacing w:after="0"/>
            </w:pPr>
            <w:r/>
            <w:r>
              <w:rPr>
                <w:b w:val="0"/>
              </w:rPr>
              <w:t>Hourly to Salary, Capital Gains Tax, Currency Exchange, Inflation, Payroll Deduction</w:t>
            </w:r>
          </w:p>
        </w:tc>
      </w:tr>
    </w:tbl>
    <w:p/>
    <w:p>
      <w:pPr>
        <w:pStyle w:val="Heading1"/>
      </w:pPr>
      <w:r>
        <w:t>7. Keep Now vs. Delay</w:t>
      </w:r>
    </w:p>
    <w:tbl>
      <w:tblPr>
        <w:tblStyle w:val="TableGrid"/>
        <w:tblW w:type="auto" w:w="0"/>
        <w:jc w:val="center"/>
        <w:tblLook w:firstColumn="1" w:firstRow="1" w:lastColumn="0" w:lastRow="0" w:noHBand="0" w:noVBand="1" w:val="04A0"/>
      </w:tblPr>
      <w:tblGrid>
        <w:gridCol w:w="5184"/>
        <w:gridCol w:w="5184"/>
      </w:tblGrid>
      <w:tr>
        <w:tc>
          <w:tcPr>
            <w:tcW w:type="dxa" w:w="5040"/>
            <w:vAlign w:val="center"/>
            <w:shd w:fill="0C4261"/>
          </w:tcPr>
          <w:p>
            <w:pPr>
              <w:spacing w:after="0"/>
            </w:pPr>
            <w:r/>
            <w:r>
              <w:rPr>
                <w:b/>
                <w:color w:val="FFFFFF"/>
              </w:rPr>
              <w:t>Keep in Phase 1</w:t>
            </w:r>
          </w:p>
        </w:tc>
        <w:tc>
          <w:tcPr>
            <w:tcW w:type="dxa" w:w="5040"/>
            <w:vAlign w:val="center"/>
            <w:shd w:fill="0C4261"/>
          </w:tcPr>
          <w:p>
            <w:pPr>
              <w:spacing w:after="0"/>
            </w:pPr>
            <w:r/>
            <w:r>
              <w:rPr>
                <w:b/>
                <w:color w:val="FFFFFF"/>
              </w:rPr>
              <w:t>Delay to Phase 2</w:t>
            </w:r>
          </w:p>
        </w:tc>
      </w:tr>
      <w:tr>
        <w:tc>
          <w:tcPr>
            <w:tcW w:type="dxa" w:w="5040"/>
            <w:vAlign w:val="center"/>
          </w:tcPr>
          <w:p>
            <w:pPr>
              <w:spacing w:after="0"/>
            </w:pPr>
            <w:r/>
            <w:r>
              <w:rPr>
                <w:b w:val="0"/>
              </w:rPr>
              <w:t>Mortgage, Mortgage Qualifier, CMHC Insurance</w:t>
            </w:r>
          </w:p>
        </w:tc>
        <w:tc>
          <w:tcPr>
            <w:tcW w:type="dxa" w:w="5040"/>
            <w:vAlign w:val="center"/>
          </w:tcPr>
          <w:p>
            <w:pPr>
              <w:spacing w:after="0"/>
            </w:pPr>
            <w:r/>
            <w:r>
              <w:rPr>
                <w:b w:val="0"/>
              </w:rPr>
              <w:t>HELOC, Biweekly Mortgage, Land Transfer Tax</w:t>
            </w:r>
          </w:p>
        </w:tc>
      </w:tr>
      <w:tr>
        <w:tc>
          <w:tcPr>
            <w:tcW w:type="dxa" w:w="5040"/>
            <w:vAlign w:val="center"/>
          </w:tcPr>
          <w:p>
            <w:pPr>
              <w:spacing w:after="0"/>
            </w:pPr>
            <w:r/>
            <w:r>
              <w:rPr>
                <w:b w:val="0"/>
              </w:rPr>
              <w:t>Net Worth, Emergency Fund, TFSA, RRSP Savings</w:t>
            </w:r>
          </w:p>
        </w:tc>
        <w:tc>
          <w:tcPr>
            <w:tcW w:type="dxa" w:w="5040"/>
            <w:vAlign w:val="center"/>
          </w:tcPr>
          <w:p>
            <w:pPr>
              <w:spacing w:after="0"/>
            </w:pPr>
            <w:r/>
            <w:r>
              <w:rPr>
                <w:b w:val="0"/>
              </w:rPr>
              <w:t>Vacation Savings, RRSP Loan, Budget Planner</w:t>
            </w:r>
          </w:p>
        </w:tc>
      </w:tr>
      <w:tr>
        <w:tc>
          <w:tcPr>
            <w:tcW w:type="dxa" w:w="5040"/>
            <w:vAlign w:val="center"/>
          </w:tcPr>
          <w:p>
            <w:pPr>
              <w:spacing w:after="0"/>
            </w:pPr>
            <w:r/>
            <w:r>
              <w:rPr>
                <w:b w:val="0"/>
              </w:rPr>
              <w:t>Compound Interest, ROI, Rule of 72, Investment Fees</w:t>
            </w:r>
          </w:p>
        </w:tc>
        <w:tc>
          <w:tcPr>
            <w:tcW w:type="dxa" w:w="5040"/>
            <w:vAlign w:val="center"/>
          </w:tcPr>
          <w:p>
            <w:pPr>
              <w:spacing w:after="0"/>
            </w:pPr>
            <w:r/>
            <w:r>
              <w:rPr>
                <w:b w:val="0"/>
              </w:rPr>
              <w:t>Asset Allocation, Black-Scholes, Dividend Yield</w:t>
            </w:r>
          </w:p>
        </w:tc>
      </w:tr>
      <w:tr>
        <w:tc>
          <w:tcPr>
            <w:tcW w:type="dxa" w:w="5040"/>
            <w:vAlign w:val="center"/>
          </w:tcPr>
          <w:p>
            <w:pPr>
              <w:spacing w:after="0"/>
            </w:pPr>
            <w:r/>
            <w:r>
              <w:rPr>
                <w:b w:val="0"/>
              </w:rPr>
              <w:t>FIRE, Retirement Planning, Retirement Withdrawal</w:t>
            </w:r>
          </w:p>
        </w:tc>
        <w:tc>
          <w:tcPr>
            <w:tcW w:type="dxa" w:w="5040"/>
            <w:vAlign w:val="center"/>
          </w:tcPr>
          <w:p>
            <w:pPr>
              <w:spacing w:after="0"/>
            </w:pPr>
            <w:r/>
            <w:r>
              <w:rPr>
                <w:b w:val="0"/>
              </w:rPr>
              <w:t>Annuity, 401(k) Save the Max, Traditional vs Roth IRA</w:t>
            </w:r>
          </w:p>
        </w:tc>
      </w:tr>
      <w:tr>
        <w:tc>
          <w:tcPr>
            <w:tcW w:type="dxa" w:w="5040"/>
            <w:vAlign w:val="center"/>
          </w:tcPr>
          <w:p>
            <w:pPr>
              <w:spacing w:after="0"/>
            </w:pPr>
            <w:r/>
            <w:r>
              <w:rPr>
                <w:b w:val="0"/>
              </w:rPr>
              <w:t>Personal Loan, Car Loan, Debt Repayment, Credit Card Payoff</w:t>
            </w:r>
          </w:p>
        </w:tc>
        <w:tc>
          <w:tcPr>
            <w:tcW w:type="dxa" w:w="5040"/>
            <w:vAlign w:val="center"/>
          </w:tcPr>
          <w:p>
            <w:pPr>
              <w:spacing w:after="0"/>
            </w:pPr>
            <w:r/>
            <w:r>
              <w:rPr>
                <w:b w:val="0"/>
              </w:rPr>
              <w:t>Student Loan, Car Lease, Simple Interest</w:t>
            </w:r>
          </w:p>
        </w:tc>
      </w:tr>
      <w:tr>
        <w:tc>
          <w:tcPr>
            <w:tcW w:type="dxa" w:w="5040"/>
            <w:vAlign w:val="center"/>
          </w:tcPr>
          <w:p>
            <w:pPr>
              <w:spacing w:after="0"/>
            </w:pPr>
            <w:r/>
            <w:r>
              <w:rPr>
                <w:b w:val="0"/>
              </w:rPr>
              <w:t>Income Tax, Salary, Sales Tax</w:t>
            </w:r>
          </w:p>
        </w:tc>
        <w:tc>
          <w:tcPr>
            <w:tcW w:type="dxa" w:w="5040"/>
            <w:vAlign w:val="center"/>
          </w:tcPr>
          <w:p>
            <w:pPr>
              <w:spacing w:after="0"/>
            </w:pPr>
            <w:r/>
            <w:r>
              <w:rPr>
                <w:b w:val="0"/>
              </w:rPr>
              <w:t>Hourly to Salary, Capital Gains Tax, Currency Exchange, Inflation</w:t>
            </w:r>
          </w:p>
        </w:tc>
      </w:tr>
    </w:tbl>
    <w:p/>
    <w:p>
      <w:pPr>
        <w:pStyle w:val="Heading1"/>
      </w:pPr>
      <w:r>
        <w:t>8. Rules Before Building New Calculators</w:t>
      </w:r>
    </w:p>
    <w:p>
      <w:pPr>
        <w:pStyle w:val="ListBullet"/>
        <w:spacing w:after="40"/>
      </w:pPr>
      <w:r>
        <w:t>Use the locked V2 calculator template. Do not redesign the foundation for each calculator.</w:t>
      </w:r>
    </w:p>
    <w:p>
      <w:pPr>
        <w:pStyle w:val="ListBullet"/>
        <w:spacing w:after="40"/>
      </w:pPr>
      <w:r>
        <w:t>Each calculator must have a clear user decision: payment, payoff, qualification, savings goal, tax impact, or retirement readiness.</w:t>
      </w:r>
    </w:p>
    <w:p>
      <w:pPr>
        <w:pStyle w:val="ListBullet"/>
        <w:spacing w:after="40"/>
      </w:pPr>
      <w:r>
        <w:t>The AI Analysis section must be calculator-specific and actionable, not generic text.</w:t>
      </w:r>
    </w:p>
    <w:p>
      <w:pPr>
        <w:pStyle w:val="ListBullet"/>
        <w:spacing w:after="40"/>
      </w:pPr>
      <w:r>
        <w:t>Mobile workflow must follow: Form → Calculate &amp; View Results → Results → CTA → AI Analysis.</w:t>
      </w:r>
    </w:p>
    <w:p>
      <w:pPr>
        <w:pStyle w:val="ListBullet"/>
        <w:spacing w:after="40"/>
      </w:pPr>
      <w:r>
        <w:t>Homepage category cards should remain simple. Full menu/footer can show deeper architecture.</w:t>
      </w:r>
    </w:p>
    <w:p>
      <w:pPr>
        <w:pStyle w:val="ListBullet"/>
        <w:spacing w:after="40"/>
      </w:pPr>
      <w:r>
        <w:t>New calculators should be built one at a time with QA after each build.</w:t>
      </w:r>
    </w:p>
    <w:p>
      <w:pPr>
        <w:pStyle w:val="Heading1"/>
      </w:pPr>
      <w:r>
        <w:t>9. Next Decision</w:t>
      </w:r>
    </w:p>
    <w:p>
      <w:r>
        <w:t>Before creating the next Claude implementation prompt, choose the first calculator to build. Recommended first calculator: Personal Loan Calculator V2.</w:t>
      </w:r>
    </w:p>
    <w:p>
      <w:pPr>
        <w:spacing w:before="240"/>
      </w:pPr>
      <w:r>
        <w:rPr>
          <w:i/>
          <w:color w:val="64748B"/>
        </w:rPr>
        <w:t>Working principle: simple homepage, scalable architecture, one high-quality calculator build at a time.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C426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