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B362D" w14:textId="77777777" w:rsidR="002A3C68" w:rsidRDefault="00000000">
      <w:pPr>
        <w:jc w:val="center"/>
      </w:pPr>
      <w:r>
        <w:rPr>
          <w:b/>
          <w:color w:val="07111F"/>
          <w:sz w:val="48"/>
        </w:rPr>
        <w:t>FinCalc Smart Homepage Art Direction Spec v1</w:t>
      </w:r>
    </w:p>
    <w:p w14:paraId="093A2C60" w14:textId="77777777" w:rsidR="002A3C68" w:rsidRDefault="00000000">
      <w:pPr>
        <w:jc w:val="center"/>
      </w:pPr>
      <w:r>
        <w:rPr>
          <w:color w:val="475569"/>
          <w:sz w:val="22"/>
        </w:rPr>
        <w:t>Premium light fintech SaaS direction for the homepage redesign</w:t>
      </w:r>
    </w:p>
    <w:tbl>
      <w:tblPr>
        <w:tblW w:w="0" w:type="auto"/>
        <w:jc w:val="center"/>
        <w:tblLook w:val="04A0" w:firstRow="1" w:lastRow="0" w:firstColumn="1" w:lastColumn="0" w:noHBand="0" w:noVBand="1"/>
      </w:tblPr>
      <w:tblGrid>
        <w:gridCol w:w="10224"/>
      </w:tblGrid>
      <w:tr w:rsidR="002A3C68" w14:paraId="7E5258E2" w14:textId="77777777">
        <w:trPr>
          <w:jc w:val="center"/>
        </w:trPr>
        <w:tc>
          <w:tcPr>
            <w:tcW w:w="10224" w:type="dxa"/>
            <w:shd w:val="clear" w:color="auto" w:fill="ECFDF5"/>
            <w:vAlign w:val="center"/>
          </w:tcPr>
          <w:p w14:paraId="17C5120E" w14:textId="77777777" w:rsidR="002A3C68" w:rsidRDefault="00000000">
            <w:pPr>
              <w:ind w:left="115" w:right="115"/>
            </w:pPr>
            <w:r>
              <w:rPr>
                <w:b/>
                <w:color w:val="07111F"/>
              </w:rPr>
              <w:t>Purpose of this document</w:t>
            </w:r>
            <w:r>
              <w:rPr>
                <w:b/>
                <w:color w:val="07111F"/>
              </w:rPr>
              <w:br/>
            </w:r>
            <w:r>
              <w:rPr>
                <w:sz w:val="20"/>
              </w:rPr>
              <w:t>This is an art direction and UX alignment document, not a coding task list. It should be used before Claude Code touches files again so the next homepage revision has a stronger visual foundation.</w:t>
            </w:r>
          </w:p>
        </w:tc>
      </w:tr>
    </w:tbl>
    <w:p w14:paraId="3828BFFA" w14:textId="77777777" w:rsidR="002A3C68" w:rsidRDefault="002A3C68"/>
    <w:p w14:paraId="0E59A6A0" w14:textId="77777777" w:rsidR="002A3C68" w:rsidRDefault="00000000">
      <w:pPr>
        <w:pStyle w:val="Heading1"/>
      </w:pPr>
      <w:r>
        <w:rPr>
          <w:color w:val="07111F"/>
          <w:sz w:val="32"/>
        </w:rPr>
        <w:t>1. Core Design Goal</w:t>
      </w:r>
    </w:p>
    <w:p w14:paraId="205A0292" w14:textId="77777777" w:rsidR="002A3C68" w:rsidRDefault="00000000">
      <w:pPr>
        <w:spacing w:after="120"/>
      </w:pPr>
      <w:r>
        <w:t>FinCalc Smart homepage should feel like a light, premium, product-forward fintech SaaS platform.</w:t>
      </w:r>
    </w:p>
    <w:p w14:paraId="38216897" w14:textId="77777777" w:rsidR="002A3C68" w:rsidRDefault="00000000">
      <w:pPr>
        <w:spacing w:after="120"/>
      </w:pPr>
      <w:r>
        <w:t>It should not feel like a dark calculator directory, generic finance blog, repeated card-grid website, crypto-style dashboard, or traditional financial calculator site.</w:t>
      </w:r>
    </w:p>
    <w:tbl>
      <w:tblPr>
        <w:tblW w:w="0" w:type="auto"/>
        <w:jc w:val="center"/>
        <w:tblLook w:val="04A0" w:firstRow="1" w:lastRow="0" w:firstColumn="1" w:lastColumn="0" w:noHBand="0" w:noVBand="1"/>
      </w:tblPr>
      <w:tblGrid>
        <w:gridCol w:w="10224"/>
      </w:tblGrid>
      <w:tr w:rsidR="002A3C68" w14:paraId="0F269878" w14:textId="77777777">
        <w:trPr>
          <w:jc w:val="center"/>
        </w:trPr>
        <w:tc>
          <w:tcPr>
            <w:tcW w:w="10224" w:type="dxa"/>
            <w:shd w:val="clear" w:color="auto" w:fill="F0FDFA"/>
            <w:vAlign w:val="center"/>
          </w:tcPr>
          <w:p w14:paraId="74B6429E" w14:textId="77777777" w:rsidR="002A3C68" w:rsidRDefault="00000000">
            <w:pPr>
              <w:ind w:left="115" w:right="115"/>
            </w:pPr>
            <w:r>
              <w:rPr>
                <w:b/>
                <w:color w:val="07111F"/>
              </w:rPr>
              <w:t>Core product story</w:t>
            </w:r>
            <w:r>
              <w:rPr>
                <w:b/>
                <w:color w:val="07111F"/>
              </w:rPr>
              <w:br/>
            </w:r>
            <w:r>
              <w:rPr>
                <w:sz w:val="20"/>
              </w:rPr>
              <w:t>Calculate → Understand → Compare → Decide</w:t>
            </w:r>
          </w:p>
        </w:tc>
      </w:tr>
    </w:tbl>
    <w:p w14:paraId="56B3EAD1" w14:textId="77777777" w:rsidR="002A3C68" w:rsidRDefault="002A3C68"/>
    <w:p w14:paraId="4F4428BE" w14:textId="77777777" w:rsidR="002A3C68" w:rsidRDefault="00000000">
      <w:pPr>
        <w:spacing w:after="120"/>
      </w:pPr>
      <w:r>
        <w:t>FinCalc Smart is not only a calculator website. It is a smart financial planning experience that helps users understand their numbers.</w:t>
      </w:r>
    </w:p>
    <w:p w14:paraId="04DBF28B" w14:textId="77777777" w:rsidR="002A3C68" w:rsidRDefault="00000000">
      <w:pPr>
        <w:pStyle w:val="Heading1"/>
      </w:pPr>
      <w:r>
        <w:rPr>
          <w:color w:val="07111F"/>
          <w:sz w:val="32"/>
        </w:rPr>
        <w:t>2. Overall Visual Direction</w:t>
      </w:r>
    </w:p>
    <w:p w14:paraId="04F47918" w14:textId="77777777" w:rsidR="002A3C68" w:rsidRDefault="00000000">
      <w:pPr>
        <w:spacing w:after="120"/>
      </w:pPr>
      <w:r>
        <w:t>Target feeling: bright, spacious, premium, trustworthy, modern, product-led, financial but not boring, SaaS-like but not generic.</w:t>
      </w:r>
    </w:p>
    <w:p w14:paraId="31D642D8" w14:textId="77777777" w:rsidR="002A3C68" w:rsidRDefault="00000000">
      <w:pPr>
        <w:pStyle w:val="ListBullet"/>
        <w:spacing w:after="60"/>
      </w:pPr>
      <w:r>
        <w:rPr>
          <w:sz w:val="20"/>
        </w:rPr>
        <w:t>Mercury / Ramp: financial trust and clean professionalism.</w:t>
      </w:r>
    </w:p>
    <w:p w14:paraId="03CF29FF" w14:textId="77777777" w:rsidR="002A3C68" w:rsidRDefault="00000000">
      <w:pPr>
        <w:pStyle w:val="ListBullet"/>
        <w:spacing w:after="60"/>
      </w:pPr>
      <w:r>
        <w:rPr>
          <w:sz w:val="20"/>
        </w:rPr>
        <w:t>Vercel / Linear: product-forward dashboard presentation.</w:t>
      </w:r>
    </w:p>
    <w:p w14:paraId="3D8AC0BA" w14:textId="77777777" w:rsidR="002A3C68" w:rsidRDefault="00000000">
      <w:pPr>
        <w:pStyle w:val="ListBullet"/>
        <w:spacing w:after="60"/>
      </w:pPr>
      <w:r>
        <w:rPr>
          <w:sz w:val="20"/>
        </w:rPr>
        <w:t>Wealthsimple: approachable financial simplicity.</w:t>
      </w:r>
    </w:p>
    <w:p w14:paraId="0F10760A" w14:textId="77777777" w:rsidR="002A3C68" w:rsidRDefault="00000000">
      <w:pPr>
        <w:pStyle w:val="ListBullet"/>
        <w:spacing w:after="60"/>
      </w:pPr>
      <w:r>
        <w:rPr>
          <w:sz w:val="20"/>
        </w:rPr>
        <w:t>Stripe: premium spacing and visual confidence.</w:t>
      </w:r>
    </w:p>
    <w:p w14:paraId="058D28A4" w14:textId="77777777" w:rsidR="002A3C68" w:rsidRDefault="00000000">
      <w:pPr>
        <w:spacing w:after="120"/>
      </w:pPr>
      <w:r>
        <w:t>Do not copy any specific website. Use these references only to define quality level and visual feeling.</w:t>
      </w:r>
    </w:p>
    <w:p w14:paraId="135CC83D" w14:textId="77777777" w:rsidR="002A3C68" w:rsidRDefault="00000000">
      <w:pPr>
        <w:pStyle w:val="Heading1"/>
      </w:pPr>
      <w:r>
        <w:rPr>
          <w:color w:val="07111F"/>
          <w:sz w:val="32"/>
        </w:rPr>
        <w:t>3. Color Direction</w:t>
      </w:r>
    </w:p>
    <w:p w14:paraId="697A8986" w14:textId="77777777" w:rsidR="002A3C68" w:rsidRDefault="00000000">
      <w:pPr>
        <w:spacing w:after="120"/>
      </w:pPr>
      <w:r>
        <w:t>Use mostly white, soft off-white, light gray, subtle gradients, and clean surfaces.</w:t>
      </w:r>
    </w:p>
    <w:p w14:paraId="1CFAD0D1" w14:textId="77777777" w:rsidR="002A3C68" w:rsidRDefault="00000000">
      <w:pPr>
        <w:spacing w:after="120"/>
      </w:pPr>
      <w:r>
        <w:t>Dark navy should be used as an accent, not the dominant background.</w:t>
      </w:r>
    </w:p>
    <w:tbl>
      <w:tblPr>
        <w:tblStyle w:val="TableGrid"/>
        <w:tblW w:w="0" w:type="auto"/>
        <w:jc w:val="center"/>
        <w:tblLook w:val="04A0" w:firstRow="1" w:lastRow="0" w:firstColumn="1" w:lastColumn="0" w:noHBand="0" w:noVBand="1"/>
      </w:tblPr>
      <w:tblGrid>
        <w:gridCol w:w="5112"/>
        <w:gridCol w:w="5112"/>
      </w:tblGrid>
      <w:tr w:rsidR="002A3C68" w14:paraId="7F80247A" w14:textId="77777777">
        <w:trPr>
          <w:jc w:val="center"/>
        </w:trPr>
        <w:tc>
          <w:tcPr>
            <w:tcW w:w="5112" w:type="dxa"/>
            <w:shd w:val="clear" w:color="auto" w:fill="E8F3F1"/>
          </w:tcPr>
          <w:p w14:paraId="5D29B46C" w14:textId="77777777" w:rsidR="002A3C68" w:rsidRDefault="00000000">
            <w:r>
              <w:rPr>
                <w:b/>
                <w:color w:val="0F172A"/>
                <w:sz w:val="19"/>
              </w:rPr>
              <w:t>Use dark navy for</w:t>
            </w:r>
          </w:p>
        </w:tc>
        <w:tc>
          <w:tcPr>
            <w:tcW w:w="5112" w:type="dxa"/>
            <w:shd w:val="clear" w:color="auto" w:fill="E8F3F1"/>
          </w:tcPr>
          <w:p w14:paraId="23FB6C8D" w14:textId="77777777" w:rsidR="002A3C68" w:rsidRDefault="00000000">
            <w:r>
              <w:rPr>
                <w:b/>
                <w:color w:val="0F172A"/>
                <w:sz w:val="19"/>
              </w:rPr>
              <w:t>Avoid</w:t>
            </w:r>
          </w:p>
        </w:tc>
      </w:tr>
      <w:tr w:rsidR="002A3C68" w14:paraId="6EFADC71" w14:textId="77777777">
        <w:trPr>
          <w:jc w:val="center"/>
        </w:trPr>
        <w:tc>
          <w:tcPr>
            <w:tcW w:w="5112" w:type="dxa"/>
          </w:tcPr>
          <w:p w14:paraId="7204528E" w14:textId="77777777" w:rsidR="002A3C68" w:rsidRDefault="00000000">
            <w:r>
              <w:rPr>
                <w:color w:val="111827"/>
                <w:sz w:val="19"/>
              </w:rPr>
              <w:t>Selected product preview surfaces</w:t>
            </w:r>
          </w:p>
        </w:tc>
        <w:tc>
          <w:tcPr>
            <w:tcW w:w="5112" w:type="dxa"/>
          </w:tcPr>
          <w:p w14:paraId="2AE003B4" w14:textId="77777777" w:rsidR="002A3C68" w:rsidRDefault="00000000">
            <w:r>
              <w:rPr>
                <w:color w:val="111827"/>
                <w:sz w:val="19"/>
              </w:rPr>
              <w:t>Too many dark blocks</w:t>
            </w:r>
          </w:p>
        </w:tc>
      </w:tr>
      <w:tr w:rsidR="002A3C68" w14:paraId="7BDF012E" w14:textId="77777777">
        <w:trPr>
          <w:jc w:val="center"/>
        </w:trPr>
        <w:tc>
          <w:tcPr>
            <w:tcW w:w="5112" w:type="dxa"/>
          </w:tcPr>
          <w:p w14:paraId="28E7C2E7" w14:textId="77777777" w:rsidR="002A3C68" w:rsidRDefault="00000000">
            <w:r>
              <w:rPr>
                <w:color w:val="111827"/>
                <w:sz w:val="19"/>
              </w:rPr>
              <w:t>Important contrast moments</w:t>
            </w:r>
          </w:p>
        </w:tc>
        <w:tc>
          <w:tcPr>
            <w:tcW w:w="5112" w:type="dxa"/>
          </w:tcPr>
          <w:p w14:paraId="5E2CE877" w14:textId="77777777" w:rsidR="002A3C68" w:rsidRDefault="00000000">
            <w:r>
              <w:rPr>
                <w:color w:val="111827"/>
                <w:sz w:val="19"/>
              </w:rPr>
              <w:t>Heavy solid navy sections</w:t>
            </w:r>
          </w:p>
        </w:tc>
      </w:tr>
      <w:tr w:rsidR="002A3C68" w14:paraId="2BA54A33" w14:textId="77777777">
        <w:trPr>
          <w:jc w:val="center"/>
        </w:trPr>
        <w:tc>
          <w:tcPr>
            <w:tcW w:w="5112" w:type="dxa"/>
          </w:tcPr>
          <w:p w14:paraId="353D4DC1" w14:textId="77777777" w:rsidR="002A3C68" w:rsidRDefault="00000000">
            <w:r>
              <w:rPr>
                <w:color w:val="111827"/>
                <w:sz w:val="19"/>
              </w:rPr>
              <w:t>Final CTA section</w:t>
            </w:r>
          </w:p>
        </w:tc>
        <w:tc>
          <w:tcPr>
            <w:tcW w:w="5112" w:type="dxa"/>
          </w:tcPr>
          <w:p w14:paraId="0BDCAB53" w14:textId="77777777" w:rsidR="002A3C68" w:rsidRDefault="00000000">
            <w:r>
              <w:rPr>
                <w:color w:val="111827"/>
                <w:sz w:val="19"/>
              </w:rPr>
              <w:t>Neon colors or crypto gradients</w:t>
            </w:r>
          </w:p>
        </w:tc>
      </w:tr>
      <w:tr w:rsidR="002A3C68" w14:paraId="1043F561" w14:textId="77777777">
        <w:trPr>
          <w:jc w:val="center"/>
        </w:trPr>
        <w:tc>
          <w:tcPr>
            <w:tcW w:w="5112" w:type="dxa"/>
          </w:tcPr>
          <w:p w14:paraId="7F1C3F18" w14:textId="77777777" w:rsidR="002A3C68" w:rsidRDefault="00000000">
            <w:r>
              <w:rPr>
                <w:color w:val="111827"/>
                <w:sz w:val="19"/>
              </w:rPr>
              <w:t>Footer</w:t>
            </w:r>
          </w:p>
        </w:tc>
        <w:tc>
          <w:tcPr>
            <w:tcW w:w="5112" w:type="dxa"/>
          </w:tcPr>
          <w:p w14:paraId="79AD813D" w14:textId="77777777" w:rsidR="002A3C68" w:rsidRDefault="00000000">
            <w:r>
              <w:rPr>
                <w:color w:val="111827"/>
                <w:sz w:val="19"/>
              </w:rPr>
              <w:t>Rainbow charts or saturated effects</w:t>
            </w:r>
          </w:p>
        </w:tc>
      </w:tr>
      <w:tr w:rsidR="002A3C68" w14:paraId="22CD33DE" w14:textId="77777777">
        <w:trPr>
          <w:jc w:val="center"/>
        </w:trPr>
        <w:tc>
          <w:tcPr>
            <w:tcW w:w="5112" w:type="dxa"/>
          </w:tcPr>
          <w:p w14:paraId="1A29333A" w14:textId="77777777" w:rsidR="002A3C68" w:rsidRDefault="00000000">
            <w:r>
              <w:rPr>
                <w:color w:val="111827"/>
                <w:sz w:val="19"/>
              </w:rPr>
              <w:t>Small dashboard-style panels</w:t>
            </w:r>
          </w:p>
        </w:tc>
        <w:tc>
          <w:tcPr>
            <w:tcW w:w="5112" w:type="dxa"/>
          </w:tcPr>
          <w:p w14:paraId="399EF942" w14:textId="77777777" w:rsidR="002A3C68" w:rsidRDefault="00000000">
            <w:r>
              <w:rPr>
                <w:color w:val="111827"/>
                <w:sz w:val="19"/>
              </w:rPr>
              <w:t>Dark dashboard overload</w:t>
            </w:r>
          </w:p>
        </w:tc>
      </w:tr>
    </w:tbl>
    <w:p w14:paraId="354B8BCA" w14:textId="77777777" w:rsidR="002A3C68" w:rsidRDefault="002A3C68"/>
    <w:p w14:paraId="2E3E8A71" w14:textId="77777777" w:rsidR="002A3C68" w:rsidRDefault="00000000">
      <w:pPr>
        <w:pStyle w:val="Heading1"/>
      </w:pPr>
      <w:r>
        <w:rPr>
          <w:color w:val="07111F"/>
          <w:sz w:val="32"/>
        </w:rPr>
        <w:lastRenderedPageBreak/>
        <w:t>4. Homepage Section Roles</w:t>
      </w:r>
    </w:p>
    <w:p w14:paraId="3051E486" w14:textId="77777777" w:rsidR="002A3C68" w:rsidRDefault="00000000">
      <w:pPr>
        <w:spacing w:after="120"/>
      </w:pPr>
      <w:r>
        <w:t>The homepage must avoid repeating the same idea across multiple sections. Each section has a clear job.</w:t>
      </w:r>
    </w:p>
    <w:tbl>
      <w:tblPr>
        <w:tblStyle w:val="TableGrid"/>
        <w:tblW w:w="0" w:type="auto"/>
        <w:jc w:val="center"/>
        <w:tblLook w:val="04A0" w:firstRow="1" w:lastRow="0" w:firstColumn="1" w:lastColumn="0" w:noHBand="0" w:noVBand="1"/>
      </w:tblPr>
      <w:tblGrid>
        <w:gridCol w:w="5112"/>
        <w:gridCol w:w="5112"/>
      </w:tblGrid>
      <w:tr w:rsidR="002A3C68" w14:paraId="78DE50D1" w14:textId="77777777">
        <w:trPr>
          <w:jc w:val="center"/>
        </w:trPr>
        <w:tc>
          <w:tcPr>
            <w:tcW w:w="5112" w:type="dxa"/>
            <w:shd w:val="clear" w:color="auto" w:fill="E8F3F1"/>
          </w:tcPr>
          <w:p w14:paraId="50B8A97E" w14:textId="77777777" w:rsidR="002A3C68" w:rsidRDefault="00000000">
            <w:r>
              <w:rPr>
                <w:b/>
                <w:color w:val="0F172A"/>
                <w:sz w:val="19"/>
              </w:rPr>
              <w:t>Section</w:t>
            </w:r>
          </w:p>
        </w:tc>
        <w:tc>
          <w:tcPr>
            <w:tcW w:w="5112" w:type="dxa"/>
            <w:shd w:val="clear" w:color="auto" w:fill="E8F3F1"/>
          </w:tcPr>
          <w:p w14:paraId="574B252F" w14:textId="77777777" w:rsidR="002A3C68" w:rsidRDefault="00000000">
            <w:r>
              <w:rPr>
                <w:b/>
                <w:color w:val="0F172A"/>
                <w:sz w:val="19"/>
              </w:rPr>
              <w:t>Role</w:t>
            </w:r>
          </w:p>
        </w:tc>
      </w:tr>
      <w:tr w:rsidR="002A3C68" w14:paraId="4D422B20" w14:textId="77777777">
        <w:trPr>
          <w:jc w:val="center"/>
        </w:trPr>
        <w:tc>
          <w:tcPr>
            <w:tcW w:w="5112" w:type="dxa"/>
          </w:tcPr>
          <w:p w14:paraId="03CF4C7A" w14:textId="77777777" w:rsidR="002A3C68" w:rsidRDefault="00000000">
            <w:r>
              <w:rPr>
                <w:color w:val="111827"/>
                <w:sz w:val="19"/>
              </w:rPr>
              <w:t>Hero</w:t>
            </w:r>
          </w:p>
        </w:tc>
        <w:tc>
          <w:tcPr>
            <w:tcW w:w="5112" w:type="dxa"/>
          </w:tcPr>
          <w:p w14:paraId="42B5A32F" w14:textId="77777777" w:rsidR="002A3C68" w:rsidRDefault="00000000">
            <w:r>
              <w:rPr>
                <w:color w:val="111827"/>
                <w:sz w:val="19"/>
              </w:rPr>
              <w:t>Product teaser</w:t>
            </w:r>
          </w:p>
        </w:tc>
      </w:tr>
      <w:tr w:rsidR="002A3C68" w14:paraId="15A83056" w14:textId="77777777">
        <w:trPr>
          <w:jc w:val="center"/>
        </w:trPr>
        <w:tc>
          <w:tcPr>
            <w:tcW w:w="5112" w:type="dxa"/>
          </w:tcPr>
          <w:p w14:paraId="7E7D376C" w14:textId="77777777" w:rsidR="002A3C68" w:rsidRDefault="00000000">
            <w:r>
              <w:rPr>
                <w:color w:val="111827"/>
                <w:sz w:val="19"/>
              </w:rPr>
              <w:t>Calculator Discovery</w:t>
            </w:r>
          </w:p>
        </w:tc>
        <w:tc>
          <w:tcPr>
            <w:tcW w:w="5112" w:type="dxa"/>
          </w:tcPr>
          <w:p w14:paraId="24C43168" w14:textId="77777777" w:rsidR="002A3C68" w:rsidRDefault="00000000">
            <w:r>
              <w:rPr>
                <w:color w:val="111827"/>
                <w:sz w:val="19"/>
              </w:rPr>
              <w:t>Choose your tool</w:t>
            </w:r>
          </w:p>
        </w:tc>
      </w:tr>
      <w:tr w:rsidR="002A3C68" w14:paraId="7FFC4186" w14:textId="77777777">
        <w:trPr>
          <w:jc w:val="center"/>
        </w:trPr>
        <w:tc>
          <w:tcPr>
            <w:tcW w:w="5112" w:type="dxa"/>
          </w:tcPr>
          <w:p w14:paraId="705306A4" w14:textId="77777777" w:rsidR="002A3C68" w:rsidRDefault="00000000">
            <w:r>
              <w:rPr>
                <w:color w:val="111827"/>
                <w:sz w:val="19"/>
              </w:rPr>
              <w:t>AI Insight Preview</w:t>
            </w:r>
          </w:p>
        </w:tc>
        <w:tc>
          <w:tcPr>
            <w:tcW w:w="5112" w:type="dxa"/>
          </w:tcPr>
          <w:p w14:paraId="3C32B2A5" w14:textId="77777777" w:rsidR="002A3C68" w:rsidRDefault="00000000">
            <w:r>
              <w:rPr>
                <w:color w:val="111827"/>
                <w:sz w:val="19"/>
              </w:rPr>
              <w:t>Understand your result</w:t>
            </w:r>
          </w:p>
        </w:tc>
      </w:tr>
      <w:tr w:rsidR="002A3C68" w14:paraId="571E5AA5" w14:textId="77777777">
        <w:trPr>
          <w:jc w:val="center"/>
        </w:trPr>
        <w:tc>
          <w:tcPr>
            <w:tcW w:w="5112" w:type="dxa"/>
          </w:tcPr>
          <w:p w14:paraId="0B6AACDE" w14:textId="77777777" w:rsidR="002A3C68" w:rsidRDefault="00000000">
            <w:r>
              <w:rPr>
                <w:color w:val="111827"/>
                <w:sz w:val="19"/>
              </w:rPr>
              <w:t>Visual Analytics Story</w:t>
            </w:r>
          </w:p>
        </w:tc>
        <w:tc>
          <w:tcPr>
            <w:tcW w:w="5112" w:type="dxa"/>
          </w:tcPr>
          <w:p w14:paraId="16766571" w14:textId="77777777" w:rsidR="002A3C68" w:rsidRDefault="00000000">
            <w:r>
              <w:rPr>
                <w:color w:val="111827"/>
                <w:sz w:val="19"/>
              </w:rPr>
              <w:t>See the full financial picture</w:t>
            </w:r>
          </w:p>
        </w:tc>
      </w:tr>
      <w:tr w:rsidR="002A3C68" w14:paraId="209D1880" w14:textId="77777777">
        <w:trPr>
          <w:jc w:val="center"/>
        </w:trPr>
        <w:tc>
          <w:tcPr>
            <w:tcW w:w="5112" w:type="dxa"/>
          </w:tcPr>
          <w:p w14:paraId="4288476E" w14:textId="77777777" w:rsidR="002A3C68" w:rsidRDefault="00000000">
            <w:r>
              <w:rPr>
                <w:color w:val="111827"/>
                <w:sz w:val="19"/>
              </w:rPr>
              <w:t>Why FinCalc Smart</w:t>
            </w:r>
          </w:p>
        </w:tc>
        <w:tc>
          <w:tcPr>
            <w:tcW w:w="5112" w:type="dxa"/>
          </w:tcPr>
          <w:p w14:paraId="0129187D" w14:textId="77777777" w:rsidR="002A3C68" w:rsidRDefault="00000000">
            <w:r>
              <w:rPr>
                <w:color w:val="111827"/>
                <w:sz w:val="19"/>
              </w:rPr>
              <w:t>Platform benefits</w:t>
            </w:r>
          </w:p>
        </w:tc>
      </w:tr>
      <w:tr w:rsidR="002A3C68" w14:paraId="79366B49" w14:textId="77777777">
        <w:trPr>
          <w:jc w:val="center"/>
        </w:trPr>
        <w:tc>
          <w:tcPr>
            <w:tcW w:w="5112" w:type="dxa"/>
          </w:tcPr>
          <w:p w14:paraId="45C1BCF8" w14:textId="77777777" w:rsidR="002A3C68" w:rsidRDefault="00000000">
            <w:r>
              <w:rPr>
                <w:color w:val="111827"/>
                <w:sz w:val="19"/>
              </w:rPr>
              <w:t>Guides</w:t>
            </w:r>
          </w:p>
        </w:tc>
        <w:tc>
          <w:tcPr>
            <w:tcW w:w="5112" w:type="dxa"/>
          </w:tcPr>
          <w:p w14:paraId="347B4C99" w14:textId="77777777" w:rsidR="002A3C68" w:rsidRDefault="00000000">
            <w:r>
              <w:rPr>
                <w:color w:val="111827"/>
                <w:sz w:val="19"/>
              </w:rPr>
              <w:t>Education and SEO authority</w:t>
            </w:r>
          </w:p>
        </w:tc>
      </w:tr>
      <w:tr w:rsidR="002A3C68" w14:paraId="0E3D51E0" w14:textId="77777777">
        <w:trPr>
          <w:jc w:val="center"/>
        </w:trPr>
        <w:tc>
          <w:tcPr>
            <w:tcW w:w="5112" w:type="dxa"/>
          </w:tcPr>
          <w:p w14:paraId="37BECA54" w14:textId="77777777" w:rsidR="002A3C68" w:rsidRDefault="00000000">
            <w:r>
              <w:rPr>
                <w:color w:val="111827"/>
                <w:sz w:val="19"/>
              </w:rPr>
              <w:t>CTA</w:t>
            </w:r>
          </w:p>
        </w:tc>
        <w:tc>
          <w:tcPr>
            <w:tcW w:w="5112" w:type="dxa"/>
          </w:tcPr>
          <w:p w14:paraId="2D64C744" w14:textId="77777777" w:rsidR="002A3C68" w:rsidRDefault="00000000">
            <w:r>
              <w:rPr>
                <w:color w:val="111827"/>
                <w:sz w:val="19"/>
              </w:rPr>
              <w:t>Action</w:t>
            </w:r>
          </w:p>
        </w:tc>
      </w:tr>
    </w:tbl>
    <w:p w14:paraId="617AAD81" w14:textId="77777777" w:rsidR="002A3C68" w:rsidRDefault="002A3C68"/>
    <w:tbl>
      <w:tblPr>
        <w:tblW w:w="0" w:type="auto"/>
        <w:jc w:val="center"/>
        <w:tblLook w:val="04A0" w:firstRow="1" w:lastRow="0" w:firstColumn="1" w:lastColumn="0" w:noHBand="0" w:noVBand="1"/>
      </w:tblPr>
      <w:tblGrid>
        <w:gridCol w:w="10224"/>
      </w:tblGrid>
      <w:tr w:rsidR="002A3C68" w14:paraId="6C2A2561" w14:textId="77777777">
        <w:trPr>
          <w:jc w:val="center"/>
        </w:trPr>
        <w:tc>
          <w:tcPr>
            <w:tcW w:w="10224" w:type="dxa"/>
            <w:shd w:val="clear" w:color="auto" w:fill="FFF7ED"/>
            <w:vAlign w:val="center"/>
          </w:tcPr>
          <w:p w14:paraId="3A5F115E" w14:textId="77777777" w:rsidR="002A3C68" w:rsidRDefault="00000000">
            <w:pPr>
              <w:ind w:left="115" w:right="115"/>
            </w:pPr>
            <w:r>
              <w:rPr>
                <w:b/>
                <w:color w:val="07111F"/>
              </w:rPr>
              <w:t>Non-overlap rule</w:t>
            </w:r>
            <w:r>
              <w:rPr>
                <w:b/>
                <w:color w:val="07111F"/>
              </w:rPr>
              <w:br/>
            </w:r>
            <w:r>
              <w:rPr>
                <w:sz w:val="20"/>
              </w:rPr>
              <w:t>Calculator section = tool discovery. AI Insight section = interpretation preview. Visual Analytics section = full calculation-to-decision story.</w:t>
            </w:r>
          </w:p>
        </w:tc>
      </w:tr>
    </w:tbl>
    <w:p w14:paraId="27E8D919" w14:textId="77777777" w:rsidR="002A3C68" w:rsidRDefault="002A3C68"/>
    <w:p w14:paraId="2ADD6C6D" w14:textId="77777777" w:rsidR="002A3C68" w:rsidRDefault="00000000">
      <w:pPr>
        <w:pStyle w:val="Heading1"/>
      </w:pPr>
      <w:r>
        <w:rPr>
          <w:color w:val="07111F"/>
          <w:sz w:val="32"/>
        </w:rPr>
        <w:t>5. Hero Section Art Direction</w:t>
      </w:r>
    </w:p>
    <w:p w14:paraId="0B954AFF" w14:textId="77777777" w:rsidR="002A3C68" w:rsidRDefault="00000000">
      <w:pPr>
        <w:spacing w:after="120"/>
      </w:pPr>
      <w:r>
        <w:t>Hero intent: product/dashboard-forward, not purely editorial. The hero should immediately show what FinCalc Smart does.</w:t>
      </w:r>
    </w:p>
    <w:tbl>
      <w:tblPr>
        <w:tblStyle w:val="TableGrid"/>
        <w:tblW w:w="0" w:type="auto"/>
        <w:jc w:val="center"/>
        <w:tblLook w:val="04A0" w:firstRow="1" w:lastRow="0" w:firstColumn="1" w:lastColumn="0" w:noHBand="0" w:noVBand="1"/>
      </w:tblPr>
      <w:tblGrid>
        <w:gridCol w:w="5112"/>
        <w:gridCol w:w="5112"/>
      </w:tblGrid>
      <w:tr w:rsidR="002A3C68" w14:paraId="05442CFE" w14:textId="77777777">
        <w:trPr>
          <w:jc w:val="center"/>
        </w:trPr>
        <w:tc>
          <w:tcPr>
            <w:tcW w:w="5112" w:type="dxa"/>
            <w:shd w:val="clear" w:color="auto" w:fill="E8F3F1"/>
          </w:tcPr>
          <w:p w14:paraId="796AD15B" w14:textId="77777777" w:rsidR="002A3C68" w:rsidRDefault="00000000">
            <w:r>
              <w:rPr>
                <w:b/>
                <w:color w:val="0F172A"/>
                <w:sz w:val="19"/>
              </w:rPr>
              <w:t>Left Side</w:t>
            </w:r>
          </w:p>
        </w:tc>
        <w:tc>
          <w:tcPr>
            <w:tcW w:w="5112" w:type="dxa"/>
            <w:shd w:val="clear" w:color="auto" w:fill="E8F3F1"/>
          </w:tcPr>
          <w:p w14:paraId="11EE7D28" w14:textId="77777777" w:rsidR="002A3C68" w:rsidRDefault="00000000">
            <w:r>
              <w:rPr>
                <w:b/>
                <w:color w:val="0F172A"/>
                <w:sz w:val="19"/>
              </w:rPr>
              <w:t>Right Side</w:t>
            </w:r>
          </w:p>
        </w:tc>
      </w:tr>
      <w:tr w:rsidR="002A3C68" w14:paraId="17CC834E" w14:textId="77777777">
        <w:trPr>
          <w:jc w:val="center"/>
        </w:trPr>
        <w:tc>
          <w:tcPr>
            <w:tcW w:w="5112" w:type="dxa"/>
          </w:tcPr>
          <w:p w14:paraId="237ECE5D" w14:textId="77777777" w:rsidR="002A3C68" w:rsidRDefault="00000000">
            <w:r>
              <w:rPr>
                <w:color w:val="111827"/>
                <w:sz w:val="19"/>
              </w:rPr>
              <w:t>Headline</w:t>
            </w:r>
          </w:p>
        </w:tc>
        <w:tc>
          <w:tcPr>
            <w:tcW w:w="5112" w:type="dxa"/>
          </w:tcPr>
          <w:p w14:paraId="52BF8134" w14:textId="77777777" w:rsidR="002A3C68" w:rsidRDefault="00000000">
            <w:r>
              <w:rPr>
                <w:color w:val="111827"/>
                <w:sz w:val="19"/>
              </w:rPr>
              <w:t>Layered product dashboard preview</w:t>
            </w:r>
          </w:p>
        </w:tc>
      </w:tr>
      <w:tr w:rsidR="002A3C68" w14:paraId="08E97084" w14:textId="77777777">
        <w:trPr>
          <w:jc w:val="center"/>
        </w:trPr>
        <w:tc>
          <w:tcPr>
            <w:tcW w:w="5112" w:type="dxa"/>
          </w:tcPr>
          <w:p w14:paraId="1BD611E4" w14:textId="77777777" w:rsidR="002A3C68" w:rsidRDefault="00000000">
            <w:r>
              <w:rPr>
                <w:color w:val="111827"/>
                <w:sz w:val="19"/>
              </w:rPr>
              <w:t>Subheadline</w:t>
            </w:r>
          </w:p>
        </w:tc>
        <w:tc>
          <w:tcPr>
            <w:tcW w:w="5112" w:type="dxa"/>
          </w:tcPr>
          <w:p w14:paraId="7E792766" w14:textId="77777777" w:rsidR="002A3C68" w:rsidRDefault="00000000">
            <w:r>
              <w:rPr>
                <w:color w:val="111827"/>
                <w:sz w:val="19"/>
              </w:rPr>
              <w:t>Calculator preview</w:t>
            </w:r>
          </w:p>
        </w:tc>
      </w:tr>
      <w:tr w:rsidR="002A3C68" w14:paraId="1954D0A5" w14:textId="77777777">
        <w:trPr>
          <w:jc w:val="center"/>
        </w:trPr>
        <w:tc>
          <w:tcPr>
            <w:tcW w:w="5112" w:type="dxa"/>
          </w:tcPr>
          <w:p w14:paraId="7E8E2030" w14:textId="77777777" w:rsidR="002A3C68" w:rsidRDefault="00000000">
            <w:r>
              <w:rPr>
                <w:color w:val="111827"/>
                <w:sz w:val="19"/>
              </w:rPr>
              <w:t>Search calculator module</w:t>
            </w:r>
          </w:p>
        </w:tc>
        <w:tc>
          <w:tcPr>
            <w:tcW w:w="5112" w:type="dxa"/>
          </w:tcPr>
          <w:p w14:paraId="2D75C008" w14:textId="77777777" w:rsidR="002A3C68" w:rsidRDefault="00000000">
            <w:r>
              <w:rPr>
                <w:color w:val="111827"/>
                <w:sz w:val="19"/>
              </w:rPr>
              <w:t>Big result number</w:t>
            </w:r>
          </w:p>
        </w:tc>
      </w:tr>
      <w:tr w:rsidR="002A3C68" w14:paraId="75B7BDDF" w14:textId="77777777">
        <w:trPr>
          <w:jc w:val="center"/>
        </w:trPr>
        <w:tc>
          <w:tcPr>
            <w:tcW w:w="5112" w:type="dxa"/>
          </w:tcPr>
          <w:p w14:paraId="65D50655" w14:textId="77777777" w:rsidR="002A3C68" w:rsidRDefault="00000000">
            <w:r>
              <w:rPr>
                <w:color w:val="111827"/>
                <w:sz w:val="19"/>
              </w:rPr>
              <w:t>Suggested shortcut chips</w:t>
            </w:r>
          </w:p>
        </w:tc>
        <w:tc>
          <w:tcPr>
            <w:tcW w:w="5112" w:type="dxa"/>
          </w:tcPr>
          <w:p w14:paraId="3860D427" w14:textId="77777777" w:rsidR="002A3C68" w:rsidRDefault="00000000">
            <w:r>
              <w:rPr>
                <w:color w:val="111827"/>
                <w:sz w:val="19"/>
              </w:rPr>
              <w:t>Insight card</w:t>
            </w:r>
          </w:p>
        </w:tc>
      </w:tr>
      <w:tr w:rsidR="002A3C68" w14:paraId="1EEB1ECD" w14:textId="77777777">
        <w:trPr>
          <w:jc w:val="center"/>
        </w:trPr>
        <w:tc>
          <w:tcPr>
            <w:tcW w:w="5112" w:type="dxa"/>
          </w:tcPr>
          <w:p w14:paraId="24FC0ED2" w14:textId="77777777" w:rsidR="002A3C68" w:rsidRDefault="00000000">
            <w:r>
              <w:rPr>
                <w:color w:val="111827"/>
                <w:sz w:val="19"/>
              </w:rPr>
              <w:t>Short trust/value line</w:t>
            </w:r>
          </w:p>
        </w:tc>
        <w:tc>
          <w:tcPr>
            <w:tcW w:w="5112" w:type="dxa"/>
          </w:tcPr>
          <w:p w14:paraId="74D15D09" w14:textId="77777777" w:rsidR="002A3C68" w:rsidRDefault="00000000">
            <w:r>
              <w:rPr>
                <w:color w:val="111827"/>
                <w:sz w:val="19"/>
              </w:rPr>
              <w:t>Score/chart preview</w:t>
            </w:r>
          </w:p>
        </w:tc>
      </w:tr>
    </w:tbl>
    <w:p w14:paraId="3D09741E" w14:textId="77777777" w:rsidR="002A3C68" w:rsidRDefault="002A3C68"/>
    <w:p w14:paraId="2EB86DFA" w14:textId="77777777" w:rsidR="002A3C68" w:rsidRDefault="00000000">
      <w:pPr>
        <w:pStyle w:val="Heading2"/>
      </w:pPr>
      <w:r>
        <w:rPr>
          <w:color w:val="0F172A"/>
        </w:rPr>
        <w:t>Hero subheadline</w:t>
      </w:r>
    </w:p>
    <w:tbl>
      <w:tblPr>
        <w:tblW w:w="0" w:type="auto"/>
        <w:jc w:val="center"/>
        <w:tblLook w:val="04A0" w:firstRow="1" w:lastRow="0" w:firstColumn="1" w:lastColumn="0" w:noHBand="0" w:noVBand="1"/>
      </w:tblPr>
      <w:tblGrid>
        <w:gridCol w:w="10224"/>
      </w:tblGrid>
      <w:tr w:rsidR="002A3C68" w14:paraId="1E9989CF" w14:textId="77777777">
        <w:trPr>
          <w:jc w:val="center"/>
        </w:trPr>
        <w:tc>
          <w:tcPr>
            <w:tcW w:w="10224" w:type="dxa"/>
            <w:shd w:val="clear" w:color="auto" w:fill="F8FAFC"/>
            <w:vAlign w:val="center"/>
          </w:tcPr>
          <w:p w14:paraId="745FE9CE" w14:textId="77777777" w:rsidR="002A3C68" w:rsidRDefault="00000000">
            <w:pPr>
              <w:ind w:left="115" w:right="115"/>
            </w:pPr>
            <w:r>
              <w:rPr>
                <w:b/>
                <w:color w:val="07111F"/>
              </w:rPr>
              <w:t>Approved subheadline</w:t>
            </w:r>
            <w:r>
              <w:rPr>
                <w:b/>
                <w:color w:val="07111F"/>
              </w:rPr>
              <w:br/>
            </w:r>
            <w:r>
              <w:rPr>
                <w:sz w:val="20"/>
              </w:rPr>
              <w:t>FinCalc Smart helps you estimate payments, compare scenarios, and understand your numbers with smart insights.</w:t>
            </w:r>
          </w:p>
        </w:tc>
      </w:tr>
    </w:tbl>
    <w:p w14:paraId="03489B5A" w14:textId="77777777" w:rsidR="002A3C68" w:rsidRDefault="002A3C68"/>
    <w:p w14:paraId="137C744F" w14:textId="77777777" w:rsidR="002A3C68" w:rsidRDefault="00000000">
      <w:pPr>
        <w:pStyle w:val="Heading2"/>
      </w:pPr>
      <w:r>
        <w:rPr>
          <w:color w:val="0F172A"/>
        </w:rPr>
        <w:t>Hero primary action</w:t>
      </w:r>
    </w:p>
    <w:p w14:paraId="2886BF6A" w14:textId="77777777" w:rsidR="002A3C68" w:rsidRDefault="00000000">
      <w:pPr>
        <w:spacing w:after="120"/>
      </w:pPr>
      <w:r>
        <w:t>Use a prominent calculator search/discovery module instead of two generic CTA buttons.</w:t>
      </w:r>
    </w:p>
    <w:tbl>
      <w:tblPr>
        <w:tblW w:w="0" w:type="auto"/>
        <w:jc w:val="center"/>
        <w:tblLook w:val="04A0" w:firstRow="1" w:lastRow="0" w:firstColumn="1" w:lastColumn="0" w:noHBand="0" w:noVBand="1"/>
      </w:tblPr>
      <w:tblGrid>
        <w:gridCol w:w="10224"/>
      </w:tblGrid>
      <w:tr w:rsidR="002A3C68" w14:paraId="0173225C" w14:textId="77777777">
        <w:trPr>
          <w:jc w:val="center"/>
        </w:trPr>
        <w:tc>
          <w:tcPr>
            <w:tcW w:w="10224" w:type="dxa"/>
            <w:shd w:val="clear" w:color="auto" w:fill="ECFDF5"/>
            <w:vAlign w:val="center"/>
          </w:tcPr>
          <w:p w14:paraId="5469FF47" w14:textId="77777777" w:rsidR="002A3C68" w:rsidRDefault="00000000">
            <w:pPr>
              <w:ind w:left="115" w:right="115"/>
            </w:pPr>
            <w:r>
              <w:rPr>
                <w:b/>
                <w:color w:val="07111F"/>
              </w:rPr>
              <w:t>Search prompt</w:t>
            </w:r>
            <w:r>
              <w:rPr>
                <w:b/>
                <w:color w:val="07111F"/>
              </w:rPr>
              <w:br/>
            </w:r>
            <w:r>
              <w:rPr>
                <w:sz w:val="20"/>
              </w:rPr>
              <w:t>What do you want to calculate today?</w:t>
            </w:r>
          </w:p>
        </w:tc>
      </w:tr>
    </w:tbl>
    <w:p w14:paraId="38F9D58D" w14:textId="77777777" w:rsidR="002A3C68" w:rsidRDefault="002A3C68"/>
    <w:p w14:paraId="6382498E" w14:textId="77777777" w:rsidR="002A3C68" w:rsidRDefault="00000000">
      <w:pPr>
        <w:spacing w:after="120"/>
      </w:pPr>
      <w:r>
        <w:t>Suggested shortcut chips: Mortgage, Loan, Retirement, Debt Payoff, Investing, Taxes.</w:t>
      </w:r>
    </w:p>
    <w:p w14:paraId="184CAEE5" w14:textId="77777777" w:rsidR="002A3C68" w:rsidRDefault="00000000">
      <w:pPr>
        <w:spacing w:after="120"/>
      </w:pPr>
      <w:r>
        <w:t>The goal is to help users immediately find the right calculator, not simply click generic buttons.</w:t>
      </w:r>
    </w:p>
    <w:p w14:paraId="50DE46A8" w14:textId="77777777" w:rsidR="002A3C68" w:rsidRDefault="00000000">
      <w:pPr>
        <w:pStyle w:val="Heading2"/>
      </w:pPr>
      <w:r>
        <w:rPr>
          <w:color w:val="0F172A"/>
        </w:rPr>
        <w:t>Hero visual goal</w:t>
      </w:r>
    </w:p>
    <w:p w14:paraId="7A496F19" w14:textId="77777777" w:rsidR="002A3C68" w:rsidRDefault="00000000">
      <w:pPr>
        <w:spacing w:after="120"/>
      </w:pPr>
      <w:r>
        <w:t>The right-side visual should feel like a real product experience: calculator input → big result → smart insight → financial score/chart.</w:t>
      </w:r>
    </w:p>
    <w:p w14:paraId="6E380AA4" w14:textId="77777777" w:rsidR="002A3C68" w:rsidRDefault="00000000">
      <w:pPr>
        <w:pStyle w:val="ListBullet"/>
        <w:spacing w:after="60"/>
      </w:pPr>
      <w:r>
        <w:rPr>
          <w:sz w:val="20"/>
        </w:rPr>
        <w:t>Avoid generic illustration, stock images, or decorative-only UI.</w:t>
      </w:r>
    </w:p>
    <w:p w14:paraId="76FD1974" w14:textId="77777777" w:rsidR="002A3C68" w:rsidRDefault="00000000">
      <w:pPr>
        <w:pStyle w:val="ListBullet"/>
        <w:spacing w:after="60"/>
      </w:pPr>
      <w:r>
        <w:rPr>
          <w:sz w:val="20"/>
        </w:rPr>
        <w:lastRenderedPageBreak/>
        <w:t>Avoid too many tiny cards or an overly dark dashboard block.</w:t>
      </w:r>
    </w:p>
    <w:p w14:paraId="66C67C49" w14:textId="77777777" w:rsidR="002A3C68" w:rsidRDefault="00000000">
      <w:pPr>
        <w:pStyle w:val="ListBullet"/>
        <w:spacing w:after="60"/>
      </w:pPr>
      <w:r>
        <w:rPr>
          <w:sz w:val="20"/>
        </w:rPr>
        <w:t>The product preview should be strong, layered, and memorable.</w:t>
      </w:r>
    </w:p>
    <w:p w14:paraId="679AF42E" w14:textId="77777777" w:rsidR="002A3C68" w:rsidRDefault="00000000">
      <w:pPr>
        <w:pStyle w:val="Heading1"/>
      </w:pPr>
      <w:r>
        <w:rPr>
          <w:color w:val="07111F"/>
          <w:sz w:val="32"/>
        </w:rPr>
        <w:t>6. Navigation Direction</w:t>
      </w:r>
    </w:p>
    <w:p w14:paraId="3E96659F" w14:textId="77777777" w:rsidR="002A3C68" w:rsidRDefault="00000000">
      <w:pPr>
        <w:spacing w:after="120"/>
      </w:pPr>
      <w:r>
        <w:t>The navigation should not feel like a heavy dark bar. Use a lighter header treatment, subtle gradient if appropriate, clean SaaS navigation, strong readability, and professional spacing.</w:t>
      </w:r>
    </w:p>
    <w:p w14:paraId="2AC56798" w14:textId="77777777" w:rsidR="002A3C68" w:rsidRDefault="00000000">
      <w:pPr>
        <w:spacing w:after="120"/>
      </w:pPr>
      <w:r>
        <w:t>Dark navy may still be used, but not as a heavy solid block that makes the page feel too dark immediately.</w:t>
      </w:r>
    </w:p>
    <w:p w14:paraId="7223FC18" w14:textId="77777777" w:rsidR="002A3C68" w:rsidRDefault="00000000">
      <w:pPr>
        <w:pStyle w:val="Heading1"/>
      </w:pPr>
      <w:r>
        <w:rPr>
          <w:color w:val="07111F"/>
          <w:sz w:val="32"/>
        </w:rPr>
        <w:t>7. Trust Bar Direction</w:t>
      </w:r>
    </w:p>
    <w:p w14:paraId="698B28AA" w14:textId="77777777" w:rsidR="002A3C68" w:rsidRDefault="00000000">
      <w:pPr>
        <w:spacing w:after="120"/>
      </w:pPr>
      <w:r>
        <w:t>The trust bar should quickly communicate credibility and usefulness. It should feel positive, not defensive.</w:t>
      </w:r>
    </w:p>
    <w:p w14:paraId="1AA3FD04" w14:textId="77777777" w:rsidR="002A3C68" w:rsidRDefault="00000000">
      <w:pPr>
        <w:pStyle w:val="ListBullet"/>
        <w:spacing w:after="60"/>
      </w:pPr>
      <w:r>
        <w:rPr>
          <w:sz w:val="20"/>
        </w:rPr>
        <w:t>Canada &amp; USA tools</w:t>
      </w:r>
    </w:p>
    <w:p w14:paraId="202E5494" w14:textId="77777777" w:rsidR="002A3C68" w:rsidRDefault="00000000">
      <w:pPr>
        <w:pStyle w:val="ListBullet"/>
        <w:spacing w:after="60"/>
      </w:pPr>
      <w:r>
        <w:rPr>
          <w:sz w:val="20"/>
        </w:rPr>
        <w:t>Smart AI-assisted insights</w:t>
      </w:r>
    </w:p>
    <w:p w14:paraId="2C6F683D" w14:textId="77777777" w:rsidR="002A3C68" w:rsidRDefault="00000000">
      <w:pPr>
        <w:pStyle w:val="ListBullet"/>
        <w:spacing w:after="60"/>
      </w:pPr>
      <w:r>
        <w:rPr>
          <w:sz w:val="20"/>
        </w:rPr>
        <w:t>Fast financial calculations</w:t>
      </w:r>
    </w:p>
    <w:p w14:paraId="48FEC806" w14:textId="77777777" w:rsidR="002A3C68" w:rsidRDefault="00000000">
      <w:pPr>
        <w:pStyle w:val="ListBullet"/>
        <w:spacing w:after="60"/>
      </w:pPr>
      <w:r>
        <w:rPr>
          <w:sz w:val="20"/>
        </w:rPr>
        <w:t>Mobile-friendly experience</w:t>
      </w:r>
    </w:p>
    <w:p w14:paraId="714C5C2D" w14:textId="77777777" w:rsidR="002A3C68" w:rsidRDefault="00000000">
      <w:pPr>
        <w:pStyle w:val="ListBullet"/>
        <w:spacing w:after="60"/>
      </w:pPr>
      <w:r>
        <w:rPr>
          <w:sz w:val="20"/>
        </w:rPr>
        <w:t>Accurate financial logic</w:t>
      </w:r>
    </w:p>
    <w:p w14:paraId="19792DED" w14:textId="77777777" w:rsidR="002A3C68" w:rsidRDefault="00000000">
      <w:pPr>
        <w:spacing w:after="120"/>
      </w:pPr>
      <w:r>
        <w:t>Avoid placing “Informational guidance only” in the trust bar. That disclaimer belongs later in a more subtle location.</w:t>
      </w:r>
    </w:p>
    <w:p w14:paraId="58E38F13" w14:textId="77777777" w:rsidR="002A3C68" w:rsidRDefault="00000000">
      <w:pPr>
        <w:pStyle w:val="Heading1"/>
      </w:pPr>
      <w:r>
        <w:rPr>
          <w:color w:val="07111F"/>
          <w:sz w:val="32"/>
        </w:rPr>
        <w:t>8. Calculator Discovery Section</w:t>
      </w:r>
    </w:p>
    <w:p w14:paraId="2CF4ABAA" w14:textId="77777777" w:rsidR="002A3C68" w:rsidRDefault="00000000">
      <w:pPr>
        <w:spacing w:after="120"/>
      </w:pPr>
      <w:r>
        <w:t>Role: answer “What calculators are available?” This is a tool discovery section, not an AI explanation section and not an analytics section.</w:t>
      </w:r>
    </w:p>
    <w:p w14:paraId="416A517B" w14:textId="77777777" w:rsidR="002A3C68" w:rsidRDefault="00000000">
      <w:pPr>
        <w:spacing w:after="120"/>
      </w:pPr>
      <w:r>
        <w:t>Content categories: Mortgage, Investing, Retirement, Debt Payoff, Loans, Taxes.</w:t>
      </w:r>
    </w:p>
    <w:p w14:paraId="26C4A26B" w14:textId="77777777" w:rsidR="002A3C68" w:rsidRDefault="00000000">
      <w:pPr>
        <w:spacing w:after="120"/>
      </w:pPr>
      <w:r>
        <w:t>Cards should feel clickable, clean, spacious, premium, and easy to scan.</w:t>
      </w:r>
    </w:p>
    <w:p w14:paraId="6097A854" w14:textId="77777777" w:rsidR="002A3C68" w:rsidRDefault="00000000">
      <w:pPr>
        <w:pStyle w:val="Heading2"/>
      </w:pPr>
      <w:r>
        <w:rPr>
          <w:color w:val="0F172A"/>
        </w:rPr>
        <w:t>Hover interaction</w:t>
      </w:r>
    </w:p>
    <w:p w14:paraId="352186F7" w14:textId="77777777" w:rsidR="002A3C68" w:rsidRDefault="00000000">
      <w:pPr>
        <w:pStyle w:val="ListBullet"/>
        <w:spacing w:after="60"/>
      </w:pPr>
      <w:r>
        <w:rPr>
          <w:sz w:val="20"/>
        </w:rPr>
        <w:t>Background reversal</w:t>
      </w:r>
    </w:p>
    <w:p w14:paraId="62439383" w14:textId="77777777" w:rsidR="002A3C68" w:rsidRDefault="00000000">
      <w:pPr>
        <w:pStyle w:val="ListBullet"/>
        <w:spacing w:after="60"/>
      </w:pPr>
      <w:r>
        <w:rPr>
          <w:sz w:val="20"/>
        </w:rPr>
        <w:t>Stronger border</w:t>
      </w:r>
    </w:p>
    <w:p w14:paraId="557EE400" w14:textId="77777777" w:rsidR="002A3C68" w:rsidRDefault="00000000">
      <w:pPr>
        <w:pStyle w:val="ListBullet"/>
        <w:spacing w:after="60"/>
      </w:pPr>
      <w:r>
        <w:rPr>
          <w:sz w:val="20"/>
        </w:rPr>
        <w:t>Slight elevation</w:t>
      </w:r>
    </w:p>
    <w:p w14:paraId="7FFDC4EA" w14:textId="77777777" w:rsidR="002A3C68" w:rsidRDefault="00000000">
      <w:pPr>
        <w:pStyle w:val="ListBullet"/>
        <w:spacing w:after="60"/>
      </w:pPr>
      <w:r>
        <w:rPr>
          <w:sz w:val="20"/>
        </w:rPr>
        <w:t>Arrow movement</w:t>
      </w:r>
    </w:p>
    <w:p w14:paraId="45783AF2" w14:textId="77777777" w:rsidR="002A3C68" w:rsidRDefault="00000000">
      <w:pPr>
        <w:pStyle w:val="ListBullet"/>
        <w:spacing w:after="60"/>
      </w:pPr>
      <w:r>
        <w:rPr>
          <w:sz w:val="20"/>
        </w:rPr>
        <w:t>Icon emphasis</w:t>
      </w:r>
    </w:p>
    <w:p w14:paraId="307A2C28" w14:textId="77777777" w:rsidR="002A3C68" w:rsidRDefault="00000000">
      <w:pPr>
        <w:spacing w:after="120"/>
      </w:pPr>
      <w:r>
        <w:t>The user should instantly know the card is clickable. Avoid identical card repetition, weak hover states, too much text, or making this section feel like blog cards.</w:t>
      </w:r>
    </w:p>
    <w:p w14:paraId="59FCD6FE" w14:textId="77777777" w:rsidR="002A3C68" w:rsidRDefault="00000000">
      <w:pPr>
        <w:pStyle w:val="Heading1"/>
      </w:pPr>
      <w:r>
        <w:rPr>
          <w:color w:val="07111F"/>
          <w:sz w:val="32"/>
        </w:rPr>
        <w:t>9. AI Insight Preview Section</w:t>
      </w:r>
    </w:p>
    <w:p w14:paraId="53D0ADA8" w14:textId="77777777" w:rsidR="002A3C68" w:rsidRDefault="00000000">
      <w:pPr>
        <w:spacing w:after="120"/>
      </w:pPr>
      <w:r>
        <w:t>Role: answer “After a user calculates something, how does FinCalc Smart help interpret the result?”</w:t>
      </w:r>
    </w:p>
    <w:p w14:paraId="07A2E8A4" w14:textId="77777777" w:rsidR="002A3C68" w:rsidRDefault="00000000">
      <w:pPr>
        <w:spacing w:after="120"/>
      </w:pPr>
      <w:r>
        <w:t>This is not a calculator list section. This is not the full analytics story.</w:t>
      </w:r>
    </w:p>
    <w:p w14:paraId="0FC3908E" w14:textId="77777777" w:rsidR="002A3C68" w:rsidRDefault="00000000">
      <w:pPr>
        <w:pStyle w:val="ListBullet"/>
        <w:spacing w:after="60"/>
      </w:pPr>
      <w:r>
        <w:rPr>
          <w:sz w:val="20"/>
        </w:rPr>
        <w:t>Result interpretation</w:t>
      </w:r>
    </w:p>
    <w:p w14:paraId="5C8D5B2B" w14:textId="77777777" w:rsidR="002A3C68" w:rsidRDefault="00000000">
      <w:pPr>
        <w:pStyle w:val="ListBullet"/>
        <w:spacing w:after="60"/>
      </w:pPr>
      <w:r>
        <w:rPr>
          <w:sz w:val="20"/>
        </w:rPr>
        <w:t>Recommendation example</w:t>
      </w:r>
    </w:p>
    <w:p w14:paraId="35EF7AAE" w14:textId="77777777" w:rsidR="002A3C68" w:rsidRDefault="00000000">
      <w:pPr>
        <w:pStyle w:val="ListBullet"/>
        <w:spacing w:after="60"/>
      </w:pPr>
      <w:r>
        <w:rPr>
          <w:sz w:val="20"/>
        </w:rPr>
        <w:t>Risk/opportunity signal</w:t>
      </w:r>
    </w:p>
    <w:p w14:paraId="3F423AEE" w14:textId="77777777" w:rsidR="002A3C68" w:rsidRDefault="00000000">
      <w:pPr>
        <w:pStyle w:val="ListBullet"/>
        <w:spacing w:after="60"/>
      </w:pPr>
      <w:r>
        <w:rPr>
          <w:sz w:val="20"/>
        </w:rPr>
        <w:t>Weekly rotating insight theme</w:t>
      </w:r>
    </w:p>
    <w:p w14:paraId="6ADB8E81" w14:textId="77777777" w:rsidR="002A3C68" w:rsidRDefault="00000000">
      <w:pPr>
        <w:spacing w:after="120"/>
      </w:pPr>
      <w:r>
        <w:lastRenderedPageBreak/>
        <w:t>Use one featured insight panel, supporting smaller insight examples, clear sample result context, and an explanation of what the AI-assisted insight helps users understand.</w:t>
      </w:r>
    </w:p>
    <w:p w14:paraId="03F6E719" w14:textId="77777777" w:rsidR="002A3C68" w:rsidRDefault="00000000">
      <w:pPr>
        <w:pStyle w:val="Heading2"/>
      </w:pPr>
      <w:r>
        <w:rPr>
          <w:color w:val="0F172A"/>
        </w:rPr>
        <w:t>AI positioning</w:t>
      </w:r>
    </w:p>
    <w:p w14:paraId="320C63DA" w14:textId="77777777" w:rsidR="002A3C68" w:rsidRDefault="00000000">
      <w:pPr>
        <w:spacing w:after="120"/>
      </w:pPr>
      <w:r>
        <w:t>Use “Smart AI-assisted financial insights.” Do not imply live AI advisor, real-time financial advice, personalized professional advice, or API-powered AI chat.</w:t>
      </w:r>
    </w:p>
    <w:tbl>
      <w:tblPr>
        <w:tblW w:w="0" w:type="auto"/>
        <w:jc w:val="center"/>
        <w:tblLook w:val="04A0" w:firstRow="1" w:lastRow="0" w:firstColumn="1" w:lastColumn="0" w:noHBand="0" w:noVBand="1"/>
      </w:tblPr>
      <w:tblGrid>
        <w:gridCol w:w="10224"/>
      </w:tblGrid>
      <w:tr w:rsidR="002A3C68" w14:paraId="0A6853F8" w14:textId="77777777">
        <w:trPr>
          <w:jc w:val="center"/>
        </w:trPr>
        <w:tc>
          <w:tcPr>
            <w:tcW w:w="10224" w:type="dxa"/>
            <w:shd w:val="clear" w:color="auto" w:fill="F8FAFC"/>
            <w:vAlign w:val="center"/>
          </w:tcPr>
          <w:p w14:paraId="205F7DC3" w14:textId="77777777" w:rsidR="002A3C68" w:rsidRDefault="00000000">
            <w:pPr>
              <w:ind w:left="115" w:right="115"/>
            </w:pPr>
            <w:r>
              <w:rPr>
                <w:b/>
                <w:color w:val="07111F"/>
              </w:rPr>
              <w:t>Disclaimer</w:t>
            </w:r>
            <w:r>
              <w:rPr>
                <w:b/>
                <w:color w:val="07111F"/>
              </w:rPr>
              <w:br/>
            </w:r>
            <w:r>
              <w:rPr>
                <w:sz w:val="20"/>
              </w:rPr>
              <w:t>AI-assisted insights are generated from calculator inputs and financial logic for informational purposes only. They are not financial advice.</w:t>
            </w:r>
          </w:p>
        </w:tc>
      </w:tr>
    </w:tbl>
    <w:p w14:paraId="5F6A186D" w14:textId="77777777" w:rsidR="002A3C68" w:rsidRDefault="002A3C68"/>
    <w:p w14:paraId="0437E472" w14:textId="77777777" w:rsidR="002A3C68" w:rsidRDefault="00000000">
      <w:pPr>
        <w:pStyle w:val="Heading1"/>
      </w:pPr>
      <w:r>
        <w:rPr>
          <w:color w:val="07111F"/>
          <w:sz w:val="32"/>
        </w:rPr>
        <w:t>10. Weekly Rotating Insight Direction</w:t>
      </w:r>
    </w:p>
    <w:p w14:paraId="6F438A88" w14:textId="77777777" w:rsidR="002A3C68" w:rsidRDefault="00000000">
      <w:pPr>
        <w:spacing w:after="120"/>
      </w:pPr>
      <w:r>
        <w:t>Weekly rotating insights are allowed and encouraged. Use predefined local content only: no AI API, no backend required, no external data.</w:t>
      </w:r>
    </w:p>
    <w:tbl>
      <w:tblPr>
        <w:tblStyle w:val="TableGrid"/>
        <w:tblW w:w="0" w:type="auto"/>
        <w:jc w:val="center"/>
        <w:tblLook w:val="04A0" w:firstRow="1" w:lastRow="0" w:firstColumn="1" w:lastColumn="0" w:noHBand="0" w:noVBand="1"/>
      </w:tblPr>
      <w:tblGrid>
        <w:gridCol w:w="5112"/>
        <w:gridCol w:w="5112"/>
      </w:tblGrid>
      <w:tr w:rsidR="002A3C68" w14:paraId="2CF78A3F" w14:textId="77777777">
        <w:trPr>
          <w:jc w:val="center"/>
        </w:trPr>
        <w:tc>
          <w:tcPr>
            <w:tcW w:w="5112" w:type="dxa"/>
            <w:shd w:val="clear" w:color="auto" w:fill="E8F3F1"/>
          </w:tcPr>
          <w:p w14:paraId="0D266830" w14:textId="77777777" w:rsidR="002A3C68" w:rsidRDefault="00000000">
            <w:r>
              <w:rPr>
                <w:b/>
                <w:color w:val="0F172A"/>
                <w:sz w:val="19"/>
              </w:rPr>
              <w:t>Week</w:t>
            </w:r>
          </w:p>
        </w:tc>
        <w:tc>
          <w:tcPr>
            <w:tcW w:w="5112" w:type="dxa"/>
            <w:shd w:val="clear" w:color="auto" w:fill="E8F3F1"/>
          </w:tcPr>
          <w:p w14:paraId="1577B8C1" w14:textId="77777777" w:rsidR="002A3C68" w:rsidRDefault="00000000">
            <w:r>
              <w:rPr>
                <w:b/>
                <w:color w:val="0F172A"/>
                <w:sz w:val="19"/>
              </w:rPr>
              <w:t>Theme</w:t>
            </w:r>
          </w:p>
        </w:tc>
      </w:tr>
      <w:tr w:rsidR="002A3C68" w14:paraId="671F8C09" w14:textId="77777777">
        <w:trPr>
          <w:jc w:val="center"/>
        </w:trPr>
        <w:tc>
          <w:tcPr>
            <w:tcW w:w="5112" w:type="dxa"/>
          </w:tcPr>
          <w:p w14:paraId="2F7F6D54" w14:textId="77777777" w:rsidR="002A3C68" w:rsidRDefault="00000000">
            <w:r>
              <w:rPr>
                <w:color w:val="111827"/>
                <w:sz w:val="19"/>
              </w:rPr>
              <w:t>Week 1</w:t>
            </w:r>
          </w:p>
        </w:tc>
        <w:tc>
          <w:tcPr>
            <w:tcW w:w="5112" w:type="dxa"/>
          </w:tcPr>
          <w:p w14:paraId="4691EC35" w14:textId="77777777" w:rsidR="002A3C68" w:rsidRDefault="00000000">
            <w:r>
              <w:rPr>
                <w:color w:val="111827"/>
                <w:sz w:val="19"/>
              </w:rPr>
              <w:t>Mortgage savings</w:t>
            </w:r>
          </w:p>
        </w:tc>
      </w:tr>
      <w:tr w:rsidR="002A3C68" w14:paraId="4DCA4C73" w14:textId="77777777">
        <w:trPr>
          <w:jc w:val="center"/>
        </w:trPr>
        <w:tc>
          <w:tcPr>
            <w:tcW w:w="5112" w:type="dxa"/>
          </w:tcPr>
          <w:p w14:paraId="404C2CDB" w14:textId="77777777" w:rsidR="002A3C68" w:rsidRDefault="00000000">
            <w:r>
              <w:rPr>
                <w:color w:val="111827"/>
                <w:sz w:val="19"/>
              </w:rPr>
              <w:t>Week 2</w:t>
            </w:r>
          </w:p>
        </w:tc>
        <w:tc>
          <w:tcPr>
            <w:tcW w:w="5112" w:type="dxa"/>
          </w:tcPr>
          <w:p w14:paraId="4561A380" w14:textId="77777777" w:rsidR="002A3C68" w:rsidRDefault="00000000">
            <w:r>
              <w:rPr>
                <w:color w:val="111827"/>
                <w:sz w:val="19"/>
              </w:rPr>
              <w:t>Debt payoff</w:t>
            </w:r>
          </w:p>
        </w:tc>
      </w:tr>
      <w:tr w:rsidR="002A3C68" w14:paraId="667C43C8" w14:textId="77777777">
        <w:trPr>
          <w:jc w:val="center"/>
        </w:trPr>
        <w:tc>
          <w:tcPr>
            <w:tcW w:w="5112" w:type="dxa"/>
          </w:tcPr>
          <w:p w14:paraId="64E3C7A5" w14:textId="77777777" w:rsidR="002A3C68" w:rsidRDefault="00000000">
            <w:r>
              <w:rPr>
                <w:color w:val="111827"/>
                <w:sz w:val="19"/>
              </w:rPr>
              <w:t>Week 3</w:t>
            </w:r>
          </w:p>
        </w:tc>
        <w:tc>
          <w:tcPr>
            <w:tcW w:w="5112" w:type="dxa"/>
          </w:tcPr>
          <w:p w14:paraId="116EE60D" w14:textId="77777777" w:rsidR="002A3C68" w:rsidRDefault="00000000">
            <w:r>
              <w:rPr>
                <w:color w:val="111827"/>
                <w:sz w:val="19"/>
              </w:rPr>
              <w:t>Investment growth</w:t>
            </w:r>
          </w:p>
        </w:tc>
      </w:tr>
      <w:tr w:rsidR="002A3C68" w14:paraId="776C42C5" w14:textId="77777777">
        <w:trPr>
          <w:jc w:val="center"/>
        </w:trPr>
        <w:tc>
          <w:tcPr>
            <w:tcW w:w="5112" w:type="dxa"/>
          </w:tcPr>
          <w:p w14:paraId="48413F4D" w14:textId="77777777" w:rsidR="002A3C68" w:rsidRDefault="00000000">
            <w:r>
              <w:rPr>
                <w:color w:val="111827"/>
                <w:sz w:val="19"/>
              </w:rPr>
              <w:t>Week 4</w:t>
            </w:r>
          </w:p>
        </w:tc>
        <w:tc>
          <w:tcPr>
            <w:tcW w:w="5112" w:type="dxa"/>
          </w:tcPr>
          <w:p w14:paraId="0A26392E" w14:textId="77777777" w:rsidR="002A3C68" w:rsidRDefault="00000000">
            <w:r>
              <w:rPr>
                <w:color w:val="111827"/>
                <w:sz w:val="19"/>
              </w:rPr>
              <w:t>Retirement planning</w:t>
            </w:r>
          </w:p>
        </w:tc>
      </w:tr>
    </w:tbl>
    <w:p w14:paraId="0F4A6E17" w14:textId="77777777" w:rsidR="002A3C68" w:rsidRDefault="002A3C68"/>
    <w:p w14:paraId="356E18D6" w14:textId="77777777" w:rsidR="002A3C68" w:rsidRDefault="00000000">
      <w:pPr>
        <w:spacing w:after="120"/>
      </w:pPr>
      <w:r>
        <w:t>Rotating insights should feel educational, realistic, based on financial logic, and useful. They should not sound like fake personalized advice.</w:t>
      </w:r>
    </w:p>
    <w:p w14:paraId="5BBB9139" w14:textId="77777777" w:rsidR="002A3C68" w:rsidRDefault="00000000">
      <w:pPr>
        <w:pStyle w:val="Heading1"/>
      </w:pPr>
      <w:r>
        <w:rPr>
          <w:color w:val="07111F"/>
          <w:sz w:val="32"/>
        </w:rPr>
        <w:t>11. Visual Analytics Story Section</w:t>
      </w:r>
    </w:p>
    <w:p w14:paraId="45BF1C7C" w14:textId="77777777" w:rsidR="002A3C68" w:rsidRDefault="00000000">
      <w:pPr>
        <w:spacing w:after="120"/>
      </w:pPr>
      <w:r>
        <w:t>This is one of the most important homepage sections. It answers: “How does FinCalc Smart help users see the full financial picture?”</w:t>
      </w:r>
    </w:p>
    <w:tbl>
      <w:tblPr>
        <w:tblW w:w="0" w:type="auto"/>
        <w:jc w:val="center"/>
        <w:tblLook w:val="04A0" w:firstRow="1" w:lastRow="0" w:firstColumn="1" w:lastColumn="0" w:noHBand="0" w:noVBand="1"/>
      </w:tblPr>
      <w:tblGrid>
        <w:gridCol w:w="10224"/>
      </w:tblGrid>
      <w:tr w:rsidR="002A3C68" w14:paraId="606A13D5" w14:textId="77777777">
        <w:trPr>
          <w:jc w:val="center"/>
        </w:trPr>
        <w:tc>
          <w:tcPr>
            <w:tcW w:w="10224" w:type="dxa"/>
            <w:shd w:val="clear" w:color="auto" w:fill="F0FDFA"/>
            <w:vAlign w:val="center"/>
          </w:tcPr>
          <w:p w14:paraId="4FB4A6A6" w14:textId="77777777" w:rsidR="002A3C68" w:rsidRDefault="00000000">
            <w:pPr>
              <w:ind w:left="115" w:right="115"/>
            </w:pPr>
            <w:r>
              <w:rPr>
                <w:b/>
                <w:color w:val="07111F"/>
              </w:rPr>
              <w:t>Story flow</w:t>
            </w:r>
            <w:r>
              <w:rPr>
                <w:b/>
                <w:color w:val="07111F"/>
              </w:rPr>
              <w:br/>
            </w:r>
            <w:r>
              <w:rPr>
                <w:sz w:val="20"/>
              </w:rPr>
              <w:t>Calculate → Analyze → Decide</w:t>
            </w:r>
          </w:p>
        </w:tc>
      </w:tr>
    </w:tbl>
    <w:p w14:paraId="6087B0F0" w14:textId="77777777" w:rsidR="002A3C68" w:rsidRDefault="002A3C68"/>
    <w:tbl>
      <w:tblPr>
        <w:tblStyle w:val="TableGrid"/>
        <w:tblW w:w="0" w:type="auto"/>
        <w:jc w:val="center"/>
        <w:tblLook w:val="04A0" w:firstRow="1" w:lastRow="0" w:firstColumn="1" w:lastColumn="0" w:noHBand="0" w:noVBand="1"/>
      </w:tblPr>
      <w:tblGrid>
        <w:gridCol w:w="5112"/>
        <w:gridCol w:w="5112"/>
      </w:tblGrid>
      <w:tr w:rsidR="002A3C68" w14:paraId="194F1579" w14:textId="77777777">
        <w:trPr>
          <w:jc w:val="center"/>
        </w:trPr>
        <w:tc>
          <w:tcPr>
            <w:tcW w:w="5112" w:type="dxa"/>
            <w:shd w:val="clear" w:color="auto" w:fill="E8F3F1"/>
          </w:tcPr>
          <w:p w14:paraId="509BC9DE" w14:textId="77777777" w:rsidR="002A3C68" w:rsidRDefault="00000000">
            <w:r>
              <w:rPr>
                <w:b/>
                <w:color w:val="0F172A"/>
                <w:sz w:val="19"/>
              </w:rPr>
              <w:t>Part</w:t>
            </w:r>
          </w:p>
        </w:tc>
        <w:tc>
          <w:tcPr>
            <w:tcW w:w="5112" w:type="dxa"/>
            <w:shd w:val="clear" w:color="auto" w:fill="E8F3F1"/>
          </w:tcPr>
          <w:p w14:paraId="039C2BF5" w14:textId="77777777" w:rsidR="002A3C68" w:rsidRDefault="00000000">
            <w:r>
              <w:rPr>
                <w:b/>
                <w:color w:val="0F172A"/>
                <w:sz w:val="19"/>
              </w:rPr>
              <w:t>What it shows</w:t>
            </w:r>
          </w:p>
        </w:tc>
      </w:tr>
      <w:tr w:rsidR="002A3C68" w14:paraId="3833A372" w14:textId="77777777">
        <w:trPr>
          <w:jc w:val="center"/>
        </w:trPr>
        <w:tc>
          <w:tcPr>
            <w:tcW w:w="5112" w:type="dxa"/>
          </w:tcPr>
          <w:p w14:paraId="09F770AB" w14:textId="77777777" w:rsidR="002A3C68" w:rsidRDefault="00000000">
            <w:r>
              <w:rPr>
                <w:color w:val="111827"/>
                <w:sz w:val="19"/>
              </w:rPr>
              <w:t>Part 1 — Big Number / Result</w:t>
            </w:r>
          </w:p>
        </w:tc>
        <w:tc>
          <w:tcPr>
            <w:tcW w:w="5112" w:type="dxa"/>
          </w:tcPr>
          <w:p w14:paraId="74A9FBF4" w14:textId="77777777" w:rsidR="002A3C68" w:rsidRDefault="00000000">
            <w:r>
              <w:rPr>
                <w:color w:val="111827"/>
                <w:sz w:val="19"/>
              </w:rPr>
              <w:t>Estimated payment, potential interest saved, or another large key metric</w:t>
            </w:r>
          </w:p>
        </w:tc>
      </w:tr>
      <w:tr w:rsidR="002A3C68" w14:paraId="3A1DFDF9" w14:textId="77777777">
        <w:trPr>
          <w:jc w:val="center"/>
        </w:trPr>
        <w:tc>
          <w:tcPr>
            <w:tcW w:w="5112" w:type="dxa"/>
          </w:tcPr>
          <w:p w14:paraId="30122428" w14:textId="77777777" w:rsidR="002A3C68" w:rsidRDefault="00000000">
            <w:r>
              <w:rPr>
                <w:color w:val="111827"/>
                <w:sz w:val="19"/>
              </w:rPr>
              <w:t>Part 2 — Analytics Breakdown</w:t>
            </w:r>
          </w:p>
        </w:tc>
        <w:tc>
          <w:tcPr>
            <w:tcW w:w="5112" w:type="dxa"/>
          </w:tcPr>
          <w:p w14:paraId="4301E0E8" w14:textId="77777777" w:rsidR="002A3C68" w:rsidRDefault="00000000">
            <w:r>
              <w:rPr>
                <w:color w:val="111827"/>
                <w:sz w:val="19"/>
              </w:rPr>
              <w:t>Chart, bar comparison, line graph, payment breakdown, or scenario comparison</w:t>
            </w:r>
          </w:p>
        </w:tc>
      </w:tr>
      <w:tr w:rsidR="002A3C68" w14:paraId="483FC9CD" w14:textId="77777777">
        <w:trPr>
          <w:jc w:val="center"/>
        </w:trPr>
        <w:tc>
          <w:tcPr>
            <w:tcW w:w="5112" w:type="dxa"/>
          </w:tcPr>
          <w:p w14:paraId="2BA4FD32" w14:textId="77777777" w:rsidR="002A3C68" w:rsidRDefault="00000000">
            <w:r>
              <w:rPr>
                <w:color w:val="111827"/>
                <w:sz w:val="19"/>
              </w:rPr>
              <w:t>Part 3 — User Outcome</w:t>
            </w:r>
          </w:p>
        </w:tc>
        <w:tc>
          <w:tcPr>
            <w:tcW w:w="5112" w:type="dxa"/>
          </w:tcPr>
          <w:p w14:paraId="7392226E" w14:textId="77777777" w:rsidR="002A3C68" w:rsidRDefault="00000000">
            <w:r>
              <w:rPr>
                <w:color w:val="111827"/>
                <w:sz w:val="19"/>
              </w:rPr>
              <w:t>Payment strategy, potential savings, future payoff vision, risk awareness, clearer decision-making</w:t>
            </w:r>
          </w:p>
        </w:tc>
      </w:tr>
    </w:tbl>
    <w:p w14:paraId="522D906B" w14:textId="77777777" w:rsidR="002A3C68" w:rsidRDefault="002A3C68"/>
    <w:p w14:paraId="390A35A2" w14:textId="77777777" w:rsidR="002A3C68" w:rsidRDefault="00000000">
      <w:pPr>
        <w:spacing w:after="120"/>
      </w:pPr>
      <w:r>
        <w:t>This section should feel like a premium SaaS analytics dashboard. Use white card surfaces, soft shadows, strong metric hierarchy, clean chart labels, generous spacing, and subtle animation.</w:t>
      </w:r>
    </w:p>
    <w:p w14:paraId="57B85CBF" w14:textId="77777777" w:rsidR="002A3C68" w:rsidRDefault="00000000">
      <w:pPr>
        <w:spacing w:after="120"/>
      </w:pPr>
      <w:r>
        <w:t>Avoid old mortgage calculator donut style, basic chart-only presentation, random decorative graphs, cluttered labels, and dark dashboard overload.</w:t>
      </w:r>
    </w:p>
    <w:p w14:paraId="56CADD82" w14:textId="77777777" w:rsidR="002A3C68" w:rsidRDefault="00000000">
      <w:pPr>
        <w:pStyle w:val="Heading1"/>
      </w:pPr>
      <w:r>
        <w:rPr>
          <w:color w:val="07111F"/>
          <w:sz w:val="32"/>
        </w:rPr>
        <w:lastRenderedPageBreak/>
        <w:t>12. Why FinCalc Smart Section</w:t>
      </w:r>
    </w:p>
    <w:p w14:paraId="3FA0A110" w14:textId="77777777" w:rsidR="002A3C68" w:rsidRDefault="00000000">
      <w:pPr>
        <w:spacing w:after="120"/>
      </w:pPr>
      <w:r>
        <w:t>Role: summarize platform benefits without repeating previous sections too heavily.</w:t>
      </w:r>
    </w:p>
    <w:p w14:paraId="104FBEAE" w14:textId="77777777" w:rsidR="002A3C68" w:rsidRDefault="00000000">
      <w:pPr>
        <w:pStyle w:val="ListBullet"/>
        <w:spacing w:after="60"/>
      </w:pPr>
      <w:r>
        <w:rPr>
          <w:sz w:val="20"/>
        </w:rPr>
        <w:t>Smart insights</w:t>
      </w:r>
    </w:p>
    <w:p w14:paraId="5E52C0D9" w14:textId="77777777" w:rsidR="002A3C68" w:rsidRDefault="00000000">
      <w:pPr>
        <w:pStyle w:val="ListBullet"/>
        <w:spacing w:after="60"/>
      </w:pPr>
      <w:r>
        <w:rPr>
          <w:sz w:val="20"/>
        </w:rPr>
        <w:t>Canada &amp; USA calculator support</w:t>
      </w:r>
    </w:p>
    <w:p w14:paraId="27BD220B" w14:textId="77777777" w:rsidR="002A3C68" w:rsidRDefault="00000000">
      <w:pPr>
        <w:pStyle w:val="ListBullet"/>
        <w:spacing w:after="60"/>
      </w:pPr>
      <w:r>
        <w:rPr>
          <w:sz w:val="20"/>
        </w:rPr>
        <w:t>Scenario comparison tools</w:t>
      </w:r>
    </w:p>
    <w:p w14:paraId="1DCFD857" w14:textId="77777777" w:rsidR="002A3C68" w:rsidRDefault="00000000">
      <w:pPr>
        <w:pStyle w:val="ListBullet"/>
        <w:spacing w:after="60"/>
      </w:pPr>
      <w:r>
        <w:rPr>
          <w:sz w:val="20"/>
        </w:rPr>
        <w:t>Downloadable PDF reports</w:t>
      </w:r>
    </w:p>
    <w:p w14:paraId="49AB3B00" w14:textId="77777777" w:rsidR="002A3C68" w:rsidRDefault="00000000">
      <w:pPr>
        <w:pStyle w:val="ListBullet"/>
        <w:spacing w:after="60"/>
      </w:pPr>
      <w:r>
        <w:rPr>
          <w:sz w:val="20"/>
        </w:rPr>
        <w:t>Email report sharing</w:t>
      </w:r>
    </w:p>
    <w:p w14:paraId="49034E15" w14:textId="77777777" w:rsidR="002A3C68" w:rsidRDefault="00000000">
      <w:pPr>
        <w:pStyle w:val="ListBullet"/>
        <w:spacing w:after="60"/>
      </w:pPr>
      <w:r>
        <w:rPr>
          <w:sz w:val="20"/>
        </w:rPr>
        <w:t>Mobile-first experience</w:t>
      </w:r>
    </w:p>
    <w:p w14:paraId="1ED768BA" w14:textId="77777777" w:rsidR="002A3C68" w:rsidRDefault="00000000">
      <w:pPr>
        <w:pStyle w:val="ListBullet"/>
        <w:spacing w:after="60"/>
      </w:pPr>
      <w:r>
        <w:rPr>
          <w:sz w:val="20"/>
        </w:rPr>
        <w:t>Visual financial breakdowns</w:t>
      </w:r>
    </w:p>
    <w:p w14:paraId="48D96D07" w14:textId="77777777" w:rsidR="002A3C68" w:rsidRDefault="00000000">
      <w:pPr>
        <w:pStyle w:val="ListBullet"/>
        <w:spacing w:after="60"/>
      </w:pPr>
      <w:r>
        <w:rPr>
          <w:sz w:val="20"/>
        </w:rPr>
        <w:t>Educational guidance</w:t>
      </w:r>
    </w:p>
    <w:p w14:paraId="58388DFE" w14:textId="77777777" w:rsidR="002A3C68" w:rsidRDefault="00000000">
      <w:pPr>
        <w:spacing w:after="120"/>
      </w:pPr>
      <w:r>
        <w:t>Using 6 cards is acceptable, but the cards should not all look identical. Use visual variation through different soft backgrounds, different card emphasis, varied layout rhythm, feature grouping, icon treatment, and subtle accent colors.</w:t>
      </w:r>
    </w:p>
    <w:p w14:paraId="0CAC2B0F" w14:textId="77777777" w:rsidR="002A3C68" w:rsidRDefault="00000000">
      <w:pPr>
        <w:pStyle w:val="Heading1"/>
      </w:pPr>
      <w:r>
        <w:rPr>
          <w:color w:val="07111F"/>
          <w:sz w:val="32"/>
        </w:rPr>
        <w:t>13. Guides / Education Section</w:t>
      </w:r>
    </w:p>
    <w:p w14:paraId="43FC9380" w14:textId="77777777" w:rsidR="002A3C68" w:rsidRDefault="00000000">
      <w:pPr>
        <w:spacing w:after="120"/>
      </w:pPr>
      <w:r>
        <w:t>Role: support SEO, authority, user education, and trust. A three-column layout is acceptable.</w:t>
      </w:r>
    </w:p>
    <w:p w14:paraId="4BB3600E" w14:textId="77777777" w:rsidR="002A3C68" w:rsidRDefault="00000000">
      <w:pPr>
        <w:spacing w:after="120"/>
      </w:pPr>
      <w:r>
        <w:t>Add small visuals or thumbnails above the guide cards if possible. The section should feel like premium editorial fintech, not plain SEO link cards.</w:t>
      </w:r>
    </w:p>
    <w:p w14:paraId="3B78C8A9" w14:textId="77777777" w:rsidR="002A3C68" w:rsidRDefault="00000000">
      <w:pPr>
        <w:pStyle w:val="ListBullet"/>
        <w:spacing w:after="60"/>
      </w:pPr>
      <w:r>
        <w:rPr>
          <w:sz w:val="20"/>
        </w:rPr>
        <w:t>How mortgage payments are calculated</w:t>
      </w:r>
    </w:p>
    <w:p w14:paraId="23B6D17D" w14:textId="77777777" w:rsidR="002A3C68" w:rsidRDefault="00000000">
      <w:pPr>
        <w:pStyle w:val="ListBullet"/>
        <w:spacing w:after="60"/>
      </w:pPr>
      <w:r>
        <w:rPr>
          <w:sz w:val="20"/>
        </w:rPr>
        <w:t>How to compare mortgage scenarios</w:t>
      </w:r>
    </w:p>
    <w:p w14:paraId="378F76F0" w14:textId="77777777" w:rsidR="002A3C68" w:rsidRDefault="00000000">
      <w:pPr>
        <w:pStyle w:val="ListBullet"/>
        <w:spacing w:after="60"/>
      </w:pPr>
      <w:r>
        <w:rPr>
          <w:sz w:val="20"/>
        </w:rPr>
        <w:t>How extra payments reduce interest</w:t>
      </w:r>
    </w:p>
    <w:p w14:paraId="15D29674" w14:textId="77777777" w:rsidR="002A3C68" w:rsidRDefault="00000000">
      <w:pPr>
        <w:pStyle w:val="Heading1"/>
      </w:pPr>
      <w:r>
        <w:rPr>
          <w:color w:val="07111F"/>
          <w:sz w:val="32"/>
        </w:rPr>
        <w:t>14. Final CTA Section</w:t>
      </w:r>
    </w:p>
    <w:p w14:paraId="4AE29BA2" w14:textId="77777777" w:rsidR="002A3C68" w:rsidRDefault="00000000">
      <w:pPr>
        <w:spacing w:after="120"/>
      </w:pPr>
      <w:r>
        <w:t>Role: give users one clear next action. This is a good place to use dark navy for stronger contrast.</w:t>
      </w:r>
    </w:p>
    <w:tbl>
      <w:tblPr>
        <w:tblW w:w="0" w:type="auto"/>
        <w:jc w:val="center"/>
        <w:tblLook w:val="04A0" w:firstRow="1" w:lastRow="0" w:firstColumn="1" w:lastColumn="0" w:noHBand="0" w:noVBand="1"/>
      </w:tblPr>
      <w:tblGrid>
        <w:gridCol w:w="10224"/>
      </w:tblGrid>
      <w:tr w:rsidR="002A3C68" w14:paraId="39065C3B" w14:textId="77777777">
        <w:trPr>
          <w:jc w:val="center"/>
        </w:trPr>
        <w:tc>
          <w:tcPr>
            <w:tcW w:w="10224" w:type="dxa"/>
            <w:shd w:val="clear" w:color="auto" w:fill="F8FAFC"/>
            <w:vAlign w:val="center"/>
          </w:tcPr>
          <w:p w14:paraId="7279783B" w14:textId="77777777" w:rsidR="002A3C68" w:rsidRDefault="00000000">
            <w:pPr>
              <w:ind w:left="115" w:right="115"/>
            </w:pPr>
            <w:r>
              <w:rPr>
                <w:b/>
                <w:color w:val="07111F"/>
              </w:rPr>
              <w:t>CTA message</w:t>
            </w:r>
            <w:r>
              <w:rPr>
                <w:b/>
                <w:color w:val="07111F"/>
              </w:rPr>
              <w:br/>
            </w:r>
            <w:r>
              <w:rPr>
                <w:sz w:val="20"/>
              </w:rPr>
              <w:t>Start planning with smarter financial tools.</w:t>
            </w:r>
          </w:p>
        </w:tc>
      </w:tr>
    </w:tbl>
    <w:p w14:paraId="440D1362" w14:textId="77777777" w:rsidR="002A3C68" w:rsidRDefault="002A3C68"/>
    <w:p w14:paraId="44AD692C" w14:textId="77777777" w:rsidR="002A3C68" w:rsidRDefault="00000000">
      <w:pPr>
        <w:spacing w:after="120"/>
      </w:pPr>
      <w:r>
        <w:t>Button examples: Explore Calculators, Start with Mortgage Calculator. The CTA should feel confident, clean, focused, premium, and not crowded.</w:t>
      </w:r>
    </w:p>
    <w:p w14:paraId="4BA89D44" w14:textId="77777777" w:rsidR="002A3C68" w:rsidRDefault="00000000">
      <w:pPr>
        <w:pStyle w:val="Heading1"/>
      </w:pPr>
      <w:r>
        <w:rPr>
          <w:color w:val="07111F"/>
          <w:sz w:val="32"/>
        </w:rPr>
        <w:t>15. Footer Direction</w:t>
      </w:r>
    </w:p>
    <w:p w14:paraId="1EA62334" w14:textId="77777777" w:rsidR="002A3C68" w:rsidRDefault="00000000">
      <w:pPr>
        <w:spacing w:after="120"/>
      </w:pPr>
      <w:r>
        <w:t>The footer should support trust and include the company logo, short brand statement, calculator links, resource links, legal links, email/contact, social icons, country switch, disclaimer, and copyright.</w:t>
      </w:r>
    </w:p>
    <w:tbl>
      <w:tblPr>
        <w:tblW w:w="0" w:type="auto"/>
        <w:jc w:val="center"/>
        <w:tblLook w:val="04A0" w:firstRow="1" w:lastRow="0" w:firstColumn="1" w:lastColumn="0" w:noHBand="0" w:noVBand="1"/>
      </w:tblPr>
      <w:tblGrid>
        <w:gridCol w:w="10224"/>
      </w:tblGrid>
      <w:tr w:rsidR="002A3C68" w14:paraId="55D8F728" w14:textId="77777777">
        <w:trPr>
          <w:jc w:val="center"/>
        </w:trPr>
        <w:tc>
          <w:tcPr>
            <w:tcW w:w="10224" w:type="dxa"/>
            <w:shd w:val="clear" w:color="auto" w:fill="F8FAFC"/>
            <w:vAlign w:val="center"/>
          </w:tcPr>
          <w:p w14:paraId="66A15223" w14:textId="77777777" w:rsidR="002A3C68" w:rsidRDefault="00000000">
            <w:pPr>
              <w:ind w:left="115" w:right="115"/>
            </w:pPr>
            <w:r>
              <w:rPr>
                <w:b/>
                <w:color w:val="07111F"/>
              </w:rPr>
              <w:t>Footer disclaimer</w:t>
            </w:r>
            <w:r>
              <w:rPr>
                <w:b/>
                <w:color w:val="07111F"/>
              </w:rPr>
              <w:br/>
            </w:r>
            <w:r>
              <w:rPr>
                <w:sz w:val="20"/>
              </w:rPr>
              <w:t>FinCalc Smart tools and AI-assisted insights are for informational purposes only and do not constitute financial advice.</w:t>
            </w:r>
          </w:p>
        </w:tc>
      </w:tr>
    </w:tbl>
    <w:p w14:paraId="7F8EAFB1" w14:textId="77777777" w:rsidR="002A3C68" w:rsidRDefault="002A3C68"/>
    <w:p w14:paraId="1FF7044D" w14:textId="77777777" w:rsidR="002A3C68" w:rsidRDefault="00000000">
      <w:pPr>
        <w:pStyle w:val="Heading1"/>
      </w:pPr>
      <w:r>
        <w:rPr>
          <w:color w:val="07111F"/>
          <w:sz w:val="32"/>
        </w:rPr>
        <w:lastRenderedPageBreak/>
        <w:t>16. Layout Rhythm</w:t>
      </w:r>
    </w:p>
    <w:p w14:paraId="626CC022" w14:textId="77777777" w:rsidR="002A3C68" w:rsidRDefault="00000000">
      <w:pPr>
        <w:spacing w:after="120"/>
      </w:pPr>
      <w:r>
        <w:t>Avoid repeating the same pattern too many times: heading → card grid → heading → card grid → heading → card grid.</w:t>
      </w:r>
    </w:p>
    <w:p w14:paraId="0113C11B" w14:textId="77777777" w:rsidR="002A3C68" w:rsidRDefault="00000000">
      <w:pPr>
        <w:spacing w:after="120"/>
      </w:pPr>
      <w:r>
        <w:t>Use varied section compositions: split layout, large feature panel, mixed-size cards, horizontal feature rows, dashboard showcase, editorial guide cards, and dark CTA band.</w:t>
      </w:r>
    </w:p>
    <w:p w14:paraId="6DE3D9BC" w14:textId="77777777" w:rsidR="002A3C68" w:rsidRDefault="00000000">
      <w:pPr>
        <w:spacing w:after="120"/>
      </w:pPr>
      <w:r>
        <w:t>This is important for premium SaaS feeling.</w:t>
      </w:r>
    </w:p>
    <w:p w14:paraId="5924F297" w14:textId="77777777" w:rsidR="002A3C68" w:rsidRDefault="00000000">
      <w:pPr>
        <w:pStyle w:val="Heading1"/>
      </w:pPr>
      <w:r>
        <w:rPr>
          <w:color w:val="07111F"/>
          <w:sz w:val="32"/>
        </w:rPr>
        <w:t>17. Card Usage Rule</w:t>
      </w:r>
    </w:p>
    <w:p w14:paraId="797B6272" w14:textId="77777777" w:rsidR="002A3C68" w:rsidRDefault="00000000">
      <w:pPr>
        <w:spacing w:after="120"/>
      </w:pPr>
      <w:r>
        <w:t>Cards are useful, but the homepage should not become a wall of identical cards.</w:t>
      </w:r>
    </w:p>
    <w:tbl>
      <w:tblPr>
        <w:tblStyle w:val="TableGrid"/>
        <w:tblW w:w="0" w:type="auto"/>
        <w:jc w:val="center"/>
        <w:tblLook w:val="04A0" w:firstRow="1" w:lastRow="0" w:firstColumn="1" w:lastColumn="0" w:noHBand="0" w:noVBand="1"/>
      </w:tblPr>
      <w:tblGrid>
        <w:gridCol w:w="5112"/>
        <w:gridCol w:w="5112"/>
      </w:tblGrid>
      <w:tr w:rsidR="002A3C68" w14:paraId="1005DCFF" w14:textId="77777777">
        <w:trPr>
          <w:jc w:val="center"/>
        </w:trPr>
        <w:tc>
          <w:tcPr>
            <w:tcW w:w="5112" w:type="dxa"/>
            <w:shd w:val="clear" w:color="auto" w:fill="E8F3F1"/>
          </w:tcPr>
          <w:p w14:paraId="0D7C9638" w14:textId="77777777" w:rsidR="002A3C68" w:rsidRDefault="00000000">
            <w:r>
              <w:rPr>
                <w:b/>
                <w:color w:val="0F172A"/>
                <w:sz w:val="19"/>
              </w:rPr>
              <w:t>Good card usage</w:t>
            </w:r>
          </w:p>
        </w:tc>
        <w:tc>
          <w:tcPr>
            <w:tcW w:w="5112" w:type="dxa"/>
            <w:shd w:val="clear" w:color="auto" w:fill="E8F3F1"/>
          </w:tcPr>
          <w:p w14:paraId="7F9B9DE8" w14:textId="77777777" w:rsidR="002A3C68" w:rsidRDefault="00000000">
            <w:r>
              <w:rPr>
                <w:b/>
                <w:color w:val="0F172A"/>
                <w:sz w:val="19"/>
              </w:rPr>
              <w:t>Bad card usage</w:t>
            </w:r>
          </w:p>
        </w:tc>
      </w:tr>
      <w:tr w:rsidR="002A3C68" w14:paraId="6348CCC6" w14:textId="77777777">
        <w:trPr>
          <w:jc w:val="center"/>
        </w:trPr>
        <w:tc>
          <w:tcPr>
            <w:tcW w:w="5112" w:type="dxa"/>
          </w:tcPr>
          <w:p w14:paraId="4BFBE519" w14:textId="77777777" w:rsidR="002A3C68" w:rsidRDefault="00000000">
            <w:r>
              <w:rPr>
                <w:color w:val="111827"/>
                <w:sz w:val="19"/>
              </w:rPr>
              <w:t>Calculator categories</w:t>
            </w:r>
          </w:p>
        </w:tc>
        <w:tc>
          <w:tcPr>
            <w:tcW w:w="5112" w:type="dxa"/>
          </w:tcPr>
          <w:p w14:paraId="1990CE58" w14:textId="77777777" w:rsidR="002A3C68" w:rsidRDefault="00000000">
            <w:r>
              <w:rPr>
                <w:color w:val="111827"/>
                <w:sz w:val="19"/>
              </w:rPr>
              <w:t>Identical card grids in every section</w:t>
            </w:r>
          </w:p>
        </w:tc>
      </w:tr>
      <w:tr w:rsidR="002A3C68" w14:paraId="1B58BF38" w14:textId="77777777">
        <w:trPr>
          <w:jc w:val="center"/>
        </w:trPr>
        <w:tc>
          <w:tcPr>
            <w:tcW w:w="5112" w:type="dxa"/>
          </w:tcPr>
          <w:p w14:paraId="7AE4BAB7" w14:textId="77777777" w:rsidR="002A3C68" w:rsidRDefault="00000000">
            <w:r>
              <w:rPr>
                <w:color w:val="111827"/>
                <w:sz w:val="19"/>
              </w:rPr>
              <w:t>Insight examples</w:t>
            </w:r>
          </w:p>
        </w:tc>
        <w:tc>
          <w:tcPr>
            <w:tcW w:w="5112" w:type="dxa"/>
          </w:tcPr>
          <w:p w14:paraId="33DC092C" w14:textId="77777777" w:rsidR="002A3C68" w:rsidRDefault="00000000">
            <w:r>
              <w:rPr>
                <w:color w:val="111827"/>
                <w:sz w:val="19"/>
              </w:rPr>
              <w:t>Same radius/shadow everywhere</w:t>
            </w:r>
          </w:p>
        </w:tc>
      </w:tr>
      <w:tr w:rsidR="002A3C68" w14:paraId="3309BC6F" w14:textId="77777777">
        <w:trPr>
          <w:jc w:val="center"/>
        </w:trPr>
        <w:tc>
          <w:tcPr>
            <w:tcW w:w="5112" w:type="dxa"/>
          </w:tcPr>
          <w:p w14:paraId="36AC7FD7" w14:textId="77777777" w:rsidR="002A3C68" w:rsidRDefault="00000000">
            <w:r>
              <w:rPr>
                <w:color w:val="111827"/>
                <w:sz w:val="19"/>
              </w:rPr>
              <w:t>Metric highlights</w:t>
            </w:r>
          </w:p>
        </w:tc>
        <w:tc>
          <w:tcPr>
            <w:tcW w:w="5112" w:type="dxa"/>
          </w:tcPr>
          <w:p w14:paraId="12B1334D" w14:textId="77777777" w:rsidR="002A3C68" w:rsidRDefault="00000000">
            <w:r>
              <w:rPr>
                <w:color w:val="111827"/>
                <w:sz w:val="19"/>
              </w:rPr>
              <w:t>Icon + title + text repeated too many times</w:t>
            </w:r>
          </w:p>
        </w:tc>
      </w:tr>
      <w:tr w:rsidR="002A3C68" w14:paraId="64BB6426" w14:textId="77777777">
        <w:trPr>
          <w:jc w:val="center"/>
        </w:trPr>
        <w:tc>
          <w:tcPr>
            <w:tcW w:w="5112" w:type="dxa"/>
          </w:tcPr>
          <w:p w14:paraId="178EAF4A" w14:textId="77777777" w:rsidR="002A3C68" w:rsidRDefault="00000000">
            <w:r>
              <w:rPr>
                <w:color w:val="111827"/>
                <w:sz w:val="19"/>
              </w:rPr>
              <w:t>Guide previews</w:t>
            </w:r>
          </w:p>
        </w:tc>
        <w:tc>
          <w:tcPr>
            <w:tcW w:w="5112" w:type="dxa"/>
          </w:tcPr>
          <w:p w14:paraId="57E76FDD" w14:textId="77777777" w:rsidR="002A3C68" w:rsidRDefault="00000000">
            <w:r>
              <w:rPr>
                <w:color w:val="111827"/>
                <w:sz w:val="19"/>
              </w:rPr>
              <w:t>Low-contrast small text</w:t>
            </w:r>
          </w:p>
        </w:tc>
      </w:tr>
    </w:tbl>
    <w:p w14:paraId="03FDF11B" w14:textId="77777777" w:rsidR="002A3C68" w:rsidRDefault="002A3C68"/>
    <w:p w14:paraId="4017507B" w14:textId="77777777" w:rsidR="002A3C68" w:rsidRDefault="00000000">
      <w:pPr>
        <w:spacing w:after="120"/>
      </w:pPr>
      <w:r>
        <w:t>The page should feel designed, not assembled from repeated blocks.</w:t>
      </w:r>
    </w:p>
    <w:p w14:paraId="597756F3" w14:textId="77777777" w:rsidR="002A3C68" w:rsidRDefault="00000000">
      <w:pPr>
        <w:pStyle w:val="Heading1"/>
      </w:pPr>
      <w:r>
        <w:rPr>
          <w:color w:val="07111F"/>
          <w:sz w:val="32"/>
        </w:rPr>
        <w:t>18. Motion Direction</w:t>
      </w:r>
    </w:p>
    <w:p w14:paraId="524F8111" w14:textId="77777777" w:rsidR="002A3C68" w:rsidRDefault="00000000">
      <w:pPr>
        <w:spacing w:after="120"/>
      </w:pPr>
      <w:r>
        <w:t>Use subtle motion only. Respect reduced-motion preferences where possible.</w:t>
      </w:r>
    </w:p>
    <w:tbl>
      <w:tblPr>
        <w:tblStyle w:val="TableGrid"/>
        <w:tblW w:w="0" w:type="auto"/>
        <w:jc w:val="center"/>
        <w:tblLook w:val="04A0" w:firstRow="1" w:lastRow="0" w:firstColumn="1" w:lastColumn="0" w:noHBand="0" w:noVBand="1"/>
      </w:tblPr>
      <w:tblGrid>
        <w:gridCol w:w="5112"/>
        <w:gridCol w:w="5112"/>
      </w:tblGrid>
      <w:tr w:rsidR="002A3C68" w14:paraId="07EFD35A" w14:textId="77777777">
        <w:trPr>
          <w:jc w:val="center"/>
        </w:trPr>
        <w:tc>
          <w:tcPr>
            <w:tcW w:w="5112" w:type="dxa"/>
            <w:shd w:val="clear" w:color="auto" w:fill="E8F3F1"/>
          </w:tcPr>
          <w:p w14:paraId="4F174C61" w14:textId="77777777" w:rsidR="002A3C68" w:rsidRDefault="00000000">
            <w:r>
              <w:rPr>
                <w:b/>
                <w:color w:val="0F172A"/>
                <w:sz w:val="19"/>
              </w:rPr>
              <w:t>Good</w:t>
            </w:r>
          </w:p>
        </w:tc>
        <w:tc>
          <w:tcPr>
            <w:tcW w:w="5112" w:type="dxa"/>
            <w:shd w:val="clear" w:color="auto" w:fill="E8F3F1"/>
          </w:tcPr>
          <w:p w14:paraId="4BDA11F5" w14:textId="77777777" w:rsidR="002A3C68" w:rsidRDefault="00000000">
            <w:r>
              <w:rPr>
                <w:b/>
                <w:color w:val="0F172A"/>
                <w:sz w:val="19"/>
              </w:rPr>
              <w:t>Avoid</w:t>
            </w:r>
          </w:p>
        </w:tc>
      </w:tr>
      <w:tr w:rsidR="002A3C68" w14:paraId="15C29B04" w14:textId="77777777">
        <w:trPr>
          <w:jc w:val="center"/>
        </w:trPr>
        <w:tc>
          <w:tcPr>
            <w:tcW w:w="5112" w:type="dxa"/>
          </w:tcPr>
          <w:p w14:paraId="168BD407" w14:textId="77777777" w:rsidR="002A3C68" w:rsidRDefault="00000000">
            <w:r>
              <w:rPr>
                <w:color w:val="111827"/>
                <w:sz w:val="19"/>
              </w:rPr>
              <w:t>Soft hover movement</w:t>
            </w:r>
          </w:p>
        </w:tc>
        <w:tc>
          <w:tcPr>
            <w:tcW w:w="5112" w:type="dxa"/>
          </w:tcPr>
          <w:p w14:paraId="0D51CA17" w14:textId="77777777" w:rsidR="002A3C68" w:rsidRDefault="00000000">
            <w:r>
              <w:rPr>
                <w:color w:val="111827"/>
                <w:sz w:val="19"/>
              </w:rPr>
              <w:t>Flashy animation</w:t>
            </w:r>
          </w:p>
        </w:tc>
      </w:tr>
      <w:tr w:rsidR="002A3C68" w14:paraId="79F77EAA" w14:textId="77777777">
        <w:trPr>
          <w:jc w:val="center"/>
        </w:trPr>
        <w:tc>
          <w:tcPr>
            <w:tcW w:w="5112" w:type="dxa"/>
          </w:tcPr>
          <w:p w14:paraId="65C1A6F1" w14:textId="77777777" w:rsidR="002A3C68" w:rsidRDefault="00000000">
            <w:r>
              <w:rPr>
                <w:color w:val="111827"/>
                <w:sz w:val="19"/>
              </w:rPr>
              <w:t>Chart reveal</w:t>
            </w:r>
          </w:p>
        </w:tc>
        <w:tc>
          <w:tcPr>
            <w:tcW w:w="5112" w:type="dxa"/>
          </w:tcPr>
          <w:p w14:paraId="512E581F" w14:textId="77777777" w:rsidR="002A3C68" w:rsidRDefault="00000000">
            <w:r>
              <w:rPr>
                <w:color w:val="111827"/>
                <w:sz w:val="19"/>
              </w:rPr>
              <w:t>Bouncing or spinning</w:t>
            </w:r>
          </w:p>
        </w:tc>
      </w:tr>
      <w:tr w:rsidR="002A3C68" w14:paraId="3C9B6375" w14:textId="77777777">
        <w:trPr>
          <w:jc w:val="center"/>
        </w:trPr>
        <w:tc>
          <w:tcPr>
            <w:tcW w:w="5112" w:type="dxa"/>
          </w:tcPr>
          <w:p w14:paraId="26C3450F" w14:textId="77777777" w:rsidR="002A3C68" w:rsidRDefault="00000000">
            <w:r>
              <w:rPr>
                <w:color w:val="111827"/>
                <w:sz w:val="19"/>
              </w:rPr>
              <w:t>Number emphasis</w:t>
            </w:r>
          </w:p>
        </w:tc>
        <w:tc>
          <w:tcPr>
            <w:tcW w:w="5112" w:type="dxa"/>
          </w:tcPr>
          <w:p w14:paraId="2C3D0952" w14:textId="77777777" w:rsidR="002A3C68" w:rsidRDefault="00000000">
            <w:r>
              <w:rPr>
                <w:color w:val="111827"/>
                <w:sz w:val="19"/>
              </w:rPr>
              <w:t>Crypto-style motion</w:t>
            </w:r>
          </w:p>
        </w:tc>
      </w:tr>
      <w:tr w:rsidR="002A3C68" w14:paraId="541570C1" w14:textId="77777777">
        <w:trPr>
          <w:jc w:val="center"/>
        </w:trPr>
        <w:tc>
          <w:tcPr>
            <w:tcW w:w="5112" w:type="dxa"/>
          </w:tcPr>
          <w:p w14:paraId="30436316" w14:textId="77777777" w:rsidR="002A3C68" w:rsidRDefault="00000000">
            <w:r>
              <w:rPr>
                <w:color w:val="111827"/>
                <w:sz w:val="19"/>
              </w:rPr>
              <w:t>Button interaction</w:t>
            </w:r>
          </w:p>
        </w:tc>
        <w:tc>
          <w:tcPr>
            <w:tcW w:w="5112" w:type="dxa"/>
          </w:tcPr>
          <w:p w14:paraId="243D05D5" w14:textId="77777777" w:rsidR="002A3C68" w:rsidRDefault="00000000">
            <w:r>
              <w:rPr>
                <w:color w:val="111827"/>
                <w:sz w:val="19"/>
              </w:rPr>
              <w:t>Too much parallax</w:t>
            </w:r>
          </w:p>
        </w:tc>
      </w:tr>
      <w:tr w:rsidR="002A3C68" w14:paraId="5710454F" w14:textId="77777777">
        <w:trPr>
          <w:jc w:val="center"/>
        </w:trPr>
        <w:tc>
          <w:tcPr>
            <w:tcW w:w="5112" w:type="dxa"/>
          </w:tcPr>
          <w:p w14:paraId="559374AD" w14:textId="77777777" w:rsidR="002A3C68" w:rsidRDefault="00000000">
            <w:r>
              <w:rPr>
                <w:color w:val="111827"/>
                <w:sz w:val="19"/>
              </w:rPr>
              <w:t>Layered card movement</w:t>
            </w:r>
          </w:p>
        </w:tc>
        <w:tc>
          <w:tcPr>
            <w:tcW w:w="5112" w:type="dxa"/>
          </w:tcPr>
          <w:p w14:paraId="14F00584" w14:textId="77777777" w:rsidR="002A3C68" w:rsidRDefault="00000000">
            <w:r>
              <w:rPr>
                <w:color w:val="111827"/>
                <w:sz w:val="19"/>
              </w:rPr>
              <w:t>Distracting effects</w:t>
            </w:r>
          </w:p>
        </w:tc>
      </w:tr>
    </w:tbl>
    <w:p w14:paraId="263FD5EC" w14:textId="77777777" w:rsidR="002A3C68" w:rsidRDefault="002A3C68"/>
    <w:p w14:paraId="79FE79A0" w14:textId="77777777" w:rsidR="002A3C68" w:rsidRDefault="00000000">
      <w:pPr>
        <w:pStyle w:val="Heading1"/>
      </w:pPr>
      <w:r>
        <w:rPr>
          <w:color w:val="07111F"/>
          <w:sz w:val="32"/>
        </w:rPr>
        <w:t>19. Responsive Direction</w:t>
      </w:r>
    </w:p>
    <w:p w14:paraId="328CE67D" w14:textId="77777777" w:rsidR="002A3C68" w:rsidRDefault="00000000">
      <w:pPr>
        <w:spacing w:after="120"/>
      </w:pPr>
      <w:r>
        <w:t>Mobile should not be a compressed desktop layout.</w:t>
      </w:r>
    </w:p>
    <w:p w14:paraId="62730A85" w14:textId="77777777" w:rsidR="002A3C68" w:rsidRDefault="00000000">
      <w:pPr>
        <w:spacing w:after="120"/>
      </w:pPr>
      <w:r>
        <w:t>Mobile priority: headline → search/discovery module → product preview → calculator discovery → AI insight preview → visual analytics story → why FinCalc Smart → guides → CTA → footer.</w:t>
      </w:r>
    </w:p>
    <w:p w14:paraId="72678A99" w14:textId="77777777" w:rsidR="002A3C68" w:rsidRDefault="00000000">
      <w:pPr>
        <w:spacing w:after="120"/>
      </w:pPr>
      <w:r>
        <w:t>Mobile sections should remain readable, spacious, and easy to scan.</w:t>
      </w:r>
    </w:p>
    <w:p w14:paraId="093CFA35" w14:textId="77777777" w:rsidR="002A3C68" w:rsidRDefault="00000000">
      <w:pPr>
        <w:pStyle w:val="Heading1"/>
      </w:pPr>
      <w:r>
        <w:rPr>
          <w:color w:val="07111F"/>
          <w:sz w:val="32"/>
        </w:rPr>
        <w:t>20. Non-Negotiable Rules</w:t>
      </w:r>
    </w:p>
    <w:p w14:paraId="03578904" w14:textId="77777777" w:rsidR="002A3C68" w:rsidRDefault="00000000">
      <w:pPr>
        <w:spacing w:after="120"/>
      </w:pPr>
      <w:r>
        <w:t>These are the rules we need to lock in clearly.</w:t>
      </w:r>
    </w:p>
    <w:p w14:paraId="5030160D" w14:textId="77777777" w:rsidR="002A3C68" w:rsidRDefault="00000000">
      <w:pPr>
        <w:pStyle w:val="ListBullet"/>
        <w:spacing w:after="60"/>
      </w:pPr>
      <w:r>
        <w:rPr>
          <w:sz w:val="20"/>
        </w:rPr>
        <w:t>Do not make the homepage mostly dark navy.</w:t>
      </w:r>
    </w:p>
    <w:p w14:paraId="5FCAC205" w14:textId="77777777" w:rsidR="002A3C68" w:rsidRDefault="00000000">
      <w:pPr>
        <w:pStyle w:val="ListBullet"/>
        <w:spacing w:after="60"/>
      </w:pPr>
      <w:r>
        <w:rPr>
          <w:sz w:val="20"/>
        </w:rPr>
        <w:t>Do not repeat identical card grids across every section.</w:t>
      </w:r>
    </w:p>
    <w:p w14:paraId="008216BB" w14:textId="77777777" w:rsidR="002A3C68" w:rsidRDefault="00000000">
      <w:pPr>
        <w:pStyle w:val="ListBullet"/>
        <w:spacing w:after="60"/>
      </w:pPr>
      <w:r>
        <w:rPr>
          <w:sz w:val="20"/>
        </w:rPr>
        <w:t>Do not use two generic hero CTA buttons when the search/discovery module is the stronger primary action.</w:t>
      </w:r>
    </w:p>
    <w:p w14:paraId="19AEC067" w14:textId="77777777" w:rsidR="002A3C68" w:rsidRDefault="00000000">
      <w:pPr>
        <w:pStyle w:val="ListBullet"/>
        <w:spacing w:after="60"/>
      </w:pPr>
      <w:r>
        <w:rPr>
          <w:sz w:val="20"/>
        </w:rPr>
        <w:t>Do not make AI insights look like a chatbot.</w:t>
      </w:r>
    </w:p>
    <w:p w14:paraId="6017F94C" w14:textId="77777777" w:rsidR="002A3C68" w:rsidRDefault="00000000">
      <w:pPr>
        <w:pStyle w:val="ListBullet"/>
        <w:spacing w:after="60"/>
      </w:pPr>
      <w:r>
        <w:rPr>
          <w:sz w:val="20"/>
        </w:rPr>
        <w:t>Do not reuse the current mortgage calculator donut/chart style.</w:t>
      </w:r>
    </w:p>
    <w:p w14:paraId="12C3C1B3" w14:textId="77777777" w:rsidR="002A3C68" w:rsidRDefault="00000000">
      <w:pPr>
        <w:pStyle w:val="ListBullet"/>
        <w:spacing w:after="60"/>
      </w:pPr>
      <w:r>
        <w:rPr>
          <w:sz w:val="20"/>
        </w:rPr>
        <w:t>Do not use generic stock images.</w:t>
      </w:r>
    </w:p>
    <w:p w14:paraId="7AEAAD2A" w14:textId="77777777" w:rsidR="002A3C68" w:rsidRDefault="00000000">
      <w:pPr>
        <w:pStyle w:val="ListBullet"/>
        <w:spacing w:after="60"/>
      </w:pPr>
      <w:r>
        <w:rPr>
          <w:sz w:val="20"/>
        </w:rPr>
        <w:t>Do not add neon or crypto-style visuals.</w:t>
      </w:r>
    </w:p>
    <w:p w14:paraId="18022CDB" w14:textId="77777777" w:rsidR="002A3C68" w:rsidRDefault="00000000">
      <w:pPr>
        <w:pStyle w:val="ListBullet"/>
        <w:spacing w:after="60"/>
      </w:pPr>
      <w:r>
        <w:rPr>
          <w:sz w:val="20"/>
        </w:rPr>
        <w:lastRenderedPageBreak/>
        <w:t>Do not make the homepage feel like a calculator directory.</w:t>
      </w:r>
    </w:p>
    <w:p w14:paraId="267F8622" w14:textId="77777777" w:rsidR="002A3C68" w:rsidRDefault="00000000">
      <w:pPr>
        <w:pStyle w:val="ListBullet"/>
        <w:spacing w:after="60"/>
      </w:pPr>
      <w:r>
        <w:rPr>
          <w:sz w:val="20"/>
        </w:rPr>
        <w:t>Do not imply live AI financial advice.</w:t>
      </w:r>
    </w:p>
    <w:p w14:paraId="05497F27" w14:textId="77777777" w:rsidR="002A3C68" w:rsidRDefault="00000000">
      <w:pPr>
        <w:pStyle w:val="ListBullet"/>
        <w:spacing w:after="60"/>
      </w:pPr>
      <w:r>
        <w:rPr>
          <w:sz w:val="20"/>
        </w:rPr>
        <w:t>Do not modify calculator logic or unrelated files.</w:t>
      </w:r>
    </w:p>
    <w:p w14:paraId="6F9FA281" w14:textId="77777777" w:rsidR="002A3C68" w:rsidRDefault="00000000">
      <w:pPr>
        <w:pStyle w:val="Heading1"/>
      </w:pPr>
      <w:r>
        <w:rPr>
          <w:color w:val="07111F"/>
          <w:sz w:val="32"/>
        </w:rPr>
        <w:t>21. Final Homepage Concept Summary</w:t>
      </w:r>
    </w:p>
    <w:tbl>
      <w:tblPr>
        <w:tblW w:w="0" w:type="auto"/>
        <w:jc w:val="center"/>
        <w:tblLook w:val="04A0" w:firstRow="1" w:lastRow="0" w:firstColumn="1" w:lastColumn="0" w:noHBand="0" w:noVBand="1"/>
      </w:tblPr>
      <w:tblGrid>
        <w:gridCol w:w="10224"/>
      </w:tblGrid>
      <w:tr w:rsidR="002A3C68" w14:paraId="1BB07B24" w14:textId="77777777">
        <w:trPr>
          <w:jc w:val="center"/>
        </w:trPr>
        <w:tc>
          <w:tcPr>
            <w:tcW w:w="10224" w:type="dxa"/>
            <w:shd w:val="clear" w:color="auto" w:fill="ECFDF5"/>
            <w:vAlign w:val="center"/>
          </w:tcPr>
          <w:p w14:paraId="5A2A1690" w14:textId="77777777" w:rsidR="002A3C68" w:rsidRDefault="00000000">
            <w:pPr>
              <w:ind w:left="115" w:right="115"/>
            </w:pPr>
            <w:r>
              <w:rPr>
                <w:b/>
                <w:color w:val="07111F"/>
              </w:rPr>
              <w:t>Homepage experience</w:t>
            </w:r>
            <w:r>
              <w:rPr>
                <w:b/>
                <w:color w:val="07111F"/>
              </w:rPr>
              <w:br/>
            </w:r>
            <w:r>
              <w:rPr>
                <w:sz w:val="20"/>
              </w:rPr>
              <w:t>Choose a calculator → calculate your numbers → understand the result with AI-assisted insights → see visual analytics → make a clearer financial decision.</w:t>
            </w:r>
          </w:p>
        </w:tc>
      </w:tr>
    </w:tbl>
    <w:p w14:paraId="5C70CBF9" w14:textId="77777777" w:rsidR="002A3C68" w:rsidRDefault="002A3C68"/>
    <w:tbl>
      <w:tblPr>
        <w:tblW w:w="0" w:type="auto"/>
        <w:jc w:val="center"/>
        <w:tblLook w:val="04A0" w:firstRow="1" w:lastRow="0" w:firstColumn="1" w:lastColumn="0" w:noHBand="0" w:noVBand="1"/>
      </w:tblPr>
      <w:tblGrid>
        <w:gridCol w:w="10224"/>
      </w:tblGrid>
      <w:tr w:rsidR="002A3C68" w14:paraId="40E178EA" w14:textId="77777777">
        <w:trPr>
          <w:jc w:val="center"/>
        </w:trPr>
        <w:tc>
          <w:tcPr>
            <w:tcW w:w="10224" w:type="dxa"/>
            <w:shd w:val="clear" w:color="auto" w:fill="F0FDFA"/>
            <w:vAlign w:val="center"/>
          </w:tcPr>
          <w:p w14:paraId="6E4DFCA0" w14:textId="77777777" w:rsidR="002A3C68" w:rsidRDefault="00000000">
            <w:pPr>
              <w:ind w:left="115" w:right="115"/>
            </w:pPr>
            <w:r>
              <w:rPr>
                <w:b/>
                <w:color w:val="07111F"/>
              </w:rPr>
              <w:t>Target visual style</w:t>
            </w:r>
            <w:r>
              <w:rPr>
                <w:b/>
                <w:color w:val="07111F"/>
              </w:rPr>
              <w:br/>
            </w:r>
            <w:r>
              <w:rPr>
                <w:sz w:val="20"/>
              </w:rPr>
              <w:t>Bright premium fintech SaaS, product-forward, spacious, trustworthy, visually varied, smart but not overwhelming.</w:t>
            </w:r>
          </w:p>
        </w:tc>
      </w:tr>
    </w:tbl>
    <w:p w14:paraId="24E88D57" w14:textId="77777777" w:rsidR="002A3C68" w:rsidRDefault="002A3C68" w:rsidP="000D0221"/>
    <w:sectPr w:rsidR="002A3C6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96190" w14:textId="77777777" w:rsidR="00C3229B" w:rsidRDefault="00C3229B">
      <w:pPr>
        <w:spacing w:after="0" w:line="240" w:lineRule="auto"/>
      </w:pPr>
      <w:r>
        <w:separator/>
      </w:r>
    </w:p>
  </w:endnote>
  <w:endnote w:type="continuationSeparator" w:id="0">
    <w:p w14:paraId="60B7C5BC" w14:textId="77777777" w:rsidR="00C3229B" w:rsidRDefault="00C32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DECE" w14:textId="77777777" w:rsidR="002A3C68" w:rsidRDefault="00000000">
    <w:pPr>
      <w:pStyle w:val="Footer"/>
      <w:jc w:val="center"/>
    </w:pPr>
    <w:proofErr w:type="spellStart"/>
    <w:r>
      <w:rPr>
        <w:color w:val="64748B"/>
        <w:sz w:val="16"/>
      </w:rPr>
      <w:t>FinCalc</w:t>
    </w:r>
    <w:proofErr w:type="spellEnd"/>
    <w:r>
      <w:rPr>
        <w:color w:val="64748B"/>
        <w:sz w:val="16"/>
      </w:rPr>
      <w:t xml:space="preserve"> Smart Homepage Art Direction Spec 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0E249" w14:textId="77777777" w:rsidR="00C3229B" w:rsidRDefault="00C3229B">
      <w:pPr>
        <w:spacing w:after="0" w:line="240" w:lineRule="auto"/>
      </w:pPr>
      <w:r>
        <w:separator/>
      </w:r>
    </w:p>
  </w:footnote>
  <w:footnote w:type="continuationSeparator" w:id="0">
    <w:p w14:paraId="0BB32367" w14:textId="77777777" w:rsidR="00C3229B" w:rsidRDefault="00C32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654782">
    <w:abstractNumId w:val="8"/>
  </w:num>
  <w:num w:numId="2" w16cid:durableId="9796417">
    <w:abstractNumId w:val="6"/>
  </w:num>
  <w:num w:numId="3" w16cid:durableId="432938183">
    <w:abstractNumId w:val="5"/>
  </w:num>
  <w:num w:numId="4" w16cid:durableId="843589256">
    <w:abstractNumId w:val="4"/>
  </w:num>
  <w:num w:numId="5" w16cid:durableId="366486927">
    <w:abstractNumId w:val="7"/>
  </w:num>
  <w:num w:numId="6" w16cid:durableId="45958404">
    <w:abstractNumId w:val="3"/>
  </w:num>
  <w:num w:numId="7" w16cid:durableId="1695570439">
    <w:abstractNumId w:val="2"/>
  </w:num>
  <w:num w:numId="8" w16cid:durableId="2071951593">
    <w:abstractNumId w:val="1"/>
  </w:num>
  <w:num w:numId="9" w16cid:durableId="177242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221"/>
    <w:rsid w:val="0015074B"/>
    <w:rsid w:val="0029639D"/>
    <w:rsid w:val="002A3C68"/>
    <w:rsid w:val="00326F90"/>
    <w:rsid w:val="00AA1D8D"/>
    <w:rsid w:val="00AA744A"/>
    <w:rsid w:val="00B47730"/>
    <w:rsid w:val="00C322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A65F2"/>
  <w14:defaultImageDpi w14:val="300"/>
  <w15:docId w15:val="{6B266C32-925B-48B5-A98A-9399BC00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An</cp:lastModifiedBy>
  <cp:revision>2</cp:revision>
  <dcterms:created xsi:type="dcterms:W3CDTF">2013-12-23T23:15:00Z</dcterms:created>
  <dcterms:modified xsi:type="dcterms:W3CDTF">2026-05-18T20:03:00Z</dcterms:modified>
  <cp:category/>
</cp:coreProperties>
</file>