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AgentGuard: A Governance Framework for AI Agents in Regulated Environments</w:t>
      </w:r>
    </w:p>
    <w:p>
      <w:pPr>
        <w:jc w:val="center"/>
      </w:pPr>
      <w:r>
        <w:rPr>
          <w:b/>
          <w:sz w:val="24"/>
        </w:rPr>
        <w:t>AgentGuard Research Team</w:t>
      </w:r>
    </w:p>
    <w:p>
      <w:pPr>
        <w:jc w:val="center"/>
      </w:pPr>
      <w:r>
        <w:rPr>
          <w:i/>
          <w:sz w:val="20"/>
        </w:rPr>
        <w:t>https://github.com/Andy-ckm/KIAS</w:t>
      </w:r>
    </w:p>
    <w:p/>
    <w:p>
      <w:pPr>
        <w:pStyle w:val="Heading1"/>
      </w:pPr>
      <w:r>
        <w:t>Abstract</w:t>
      </w:r>
    </w:p>
    <w:p>
      <w:r>
        <w:t>AI agents are increasingly deployed in enterprise environments, yet governance frameworks for ensuring their compliance with organizational and regulatory requirements remain underdeveloped. We present AgentGuard, an open-source Rust-based governance framework that enforces compliance constraints on AI agent actions through machine-readable gates. AgentGuard implements a three-layer architecture separating governance rules, execution enforcement, and inter-agent protocols. We describe the engineering of a production system comprising 31 modules, 182,173 lines of Rust code, and 4,379 automated tests developed over 608 commits in 6 days. We report verifiable code quality metrics including zero clippy warnings, 9,172 functions with 29% public API surface, and 29% async function coverage for I/O-bound operations. We discuss the application of Harness Engineering principles to AI agent governance and present a roadmap for empirical evaluation. This paper contributes (1) an architecture for AI agent governance, (2) engineering practices for building reliable governance systems, and (3) a research agenda for empirically validating governance frameworks.</w:t>
      </w:r>
    </w:p>
    <w:p>
      <w:r>
        <w:rPr>
          <w:b/>
        </w:rPr>
        <w:t xml:space="preserve">Keywords: </w:t>
      </w:r>
      <w:r>
        <w:t>AI Agent Governance, Rust, Compliance Engineering, Software Architecture, Monorepo</w:t>
      </w:r>
    </w:p>
    <w:p>
      <w:r>
        <w:br w:type="page"/>
      </w:r>
    </w:p>
    <w:p>
      <w:pPr>
        <w:pStyle w:val="Heading1"/>
      </w:pPr>
      <w:r>
        <w:t>1. Introduction</w:t>
      </w:r>
    </w:p>
    <w:p>
      <w:r>
        <w:t>The deployment of AI agents in enterprise settings—from code generation to system administration to customer interaction—has outpaced the development of governance frameworks that ensure these agents operate within organizational and regulatory boundaries. While frameworks like LangChain (Chase, 2022), AutoGPT (Significant Gravitas, 2023), and CrewAI (CrewAI, 2024) provide increasingly sophisticated agent capabilities, they do not address the compliance requirements of regulated industries such as pharmaceuticals, medical devices, and financial services.</w:t>
      </w:r>
    </w:p>
    <w:p>
      <w:r>
        <w:t>The gap between agent capabilities and governance requirements creates three concrete risks for enterprises: (1) agents may take actions that violate regulatory requirements (e.g., FDA 21 CFR Part 11 for electronic records), (2) audit trails may be incomplete or unstructured, making compliance verification difficult, and (3) governance policies may be inconsistently enforced across different agent implementations.</w:t>
      </w:r>
    </w:p>
    <w:p>
      <w:r>
        <w:t>We present AgentGuard, an open-source governance framework that addresses these risks through a principled architecture separating governance concerns from execution concerns. AgentGuard is implemented in Rust for memory safety, performance, and strong static typing that can encode governance constraints at compile time.</w:t>
      </w:r>
    </w:p>
    <w:p>
      <w:r>
        <w:t>This paper makes three contributions:</w:t>
      </w:r>
    </w:p>
    <w:p>
      <w:pPr>
        <w:pStyle w:val="ListNumber"/>
      </w:pPr>
      <w:r>
        <w:t>An architecture for AI agent governance based on three layers (governance, execution, protocol) with clear separation of concerns and machine-readable compliance gates.</w:t>
      </w:r>
    </w:p>
    <w:p>
      <w:pPr>
        <w:pStyle w:val="ListNumber"/>
      </w:pPr>
      <w:r>
        <w:t>Engineering practices for building reliable governance systems, including automated testing, static analysis, and continuous integration, demonstrated through a production codebase of 182K lines.</w:t>
      </w:r>
    </w:p>
    <w:p>
      <w:pPr>
        <w:pStyle w:val="ListNumber"/>
      </w:pPr>
      <w:r>
        <w:t>A research agenda for empirically validating governance frameworks, including proposed experiments for measuring compliance effectiveness, performance overhead, and developer productivity impact.</w:t>
      </w:r>
    </w:p>
    <w:p>
      <w:pPr>
        <w:pStyle w:val="Heading1"/>
      </w:pPr>
      <w:r>
        <w:t>2. Related Work</w:t>
      </w:r>
    </w:p>
    <w:p>
      <w:pPr>
        <w:pStyle w:val="Heading2"/>
      </w:pPr>
      <w:r>
        <w:t>2.1 AI Agent Frameworks</w:t>
      </w:r>
    </w:p>
    <w:p>
      <w:r>
        <w:t>The AI agent ecosystem has grown rapidly. LangChain (Chase, 2022) provides composable building blocks for LLM applications but lacks built-in governance mechanisms. AutoGPT (Significant Gravitas, 2023) demonstrates autonomous task completion but operates without systematic oversight. CrewAI (CrewAI, 2024) enables multi-agent coordination through role-based delegation but does not address organizational compliance. Microsoft AutoGen (Wu et al., 2023) provides conversational agent orchestration but delegates governance to users. None of these frameworks provide the structured compliance enforcement that regulated industries require.</w:t>
      </w:r>
    </w:p>
    <w:p>
      <w:pPr>
        <w:pStyle w:val="Heading2"/>
      </w:pPr>
      <w:r>
        <w:t>2.2 AI Governance</w:t>
      </w:r>
    </w:p>
    <w:p>
      <w:r>
        <w:t>Research on AI governance has focused primarily on model-level concerns: fairness (Mehrabi et al., 2021), bias detection (Mitchell et al., 2021), and accountability (Raji et al., 2020). The EU AI Act (European Commission, 2024) establishes risk-based regulatory requirements but provides limited implementation guidance. Industry-specific regulations (FDA 21 CFR Part 11, EU Annex 11, ISO 13485) mandate electronic records and signatures but do not address autonomous agent actions. Our work bridges this gap by providing a concrete, implementable governance framework.</w:t>
      </w:r>
    </w:p>
    <w:p>
      <w:pPr>
        <w:pStyle w:val="Heading2"/>
      </w:pPr>
      <w:r>
        <w:t>2.3 Software Governance at Scale</w:t>
      </w:r>
    </w:p>
    <w:p>
      <w:r>
        <w:t>Large-scale software organizations have developed systematic approaches to engineering governance. ByteDance and Tencent use "Harness Engineering" practices that embed governance into development workflows through machine-readable artifacts (Zhang et al., 2023). Google's engineering practices include automated compliance checks integrated into CI/CD pipelines (Beyer et al., 2016). These approaches have demonstrated effectiveness at scale but have not been systematically applied to AI agent governance. We adapt these principles to the AI agent domain.</w:t>
      </w:r>
    </w:p>
    <w:p>
      <w:pPr>
        <w:pStyle w:val="Heading1"/>
      </w:pPr>
      <w:r>
        <w:t>3. Architecture</w:t>
      </w:r>
    </w:p>
    <w:p>
      <w:pPr>
        <w:pStyle w:val="Heading2"/>
      </w:pPr>
      <w:r>
        <w:t>3.1 Design Principles</w:t>
      </w:r>
    </w:p>
    <w:p>
      <w:r>
        <w:t>AgentGuard's architecture is guided by four principles:</w:t>
      </w:r>
    </w:p>
    <w:p>
      <w:r>
        <w:rPr>
          <w:b/>
        </w:rPr>
        <w:t xml:space="preserve">Separation of concerns. </w:t>
      </w:r>
      <w:r>
        <w:t>Governance rules are independent of agent implementation. Compliance teams define policies without modifying agent code.</w:t>
      </w:r>
    </w:p>
    <w:p>
      <w:r>
        <w:rPr>
          <w:b/>
        </w:rPr>
        <w:t xml:space="preserve">Machine-readable governance. </w:t>
      </w:r>
      <w:r>
        <w:t>All governance rules are expressed as structured artifacts (YAML/JSON), not natural language. This enables automated enforcement and testing.</w:t>
      </w:r>
    </w:p>
    <w:p>
      <w:r>
        <w:rPr>
          <w:b/>
        </w:rPr>
        <w:t xml:space="preserve">Compile-time safety. </w:t>
      </w:r>
      <w:r>
        <w:t>Rust's type system encodes governance constraints at compile time, preventing entire classes of governance bypasses that would be runtime errors in other languages.</w:t>
      </w:r>
    </w:p>
    <w:p>
      <w:r>
        <w:rPr>
          <w:b/>
        </w:rPr>
        <w:t xml:space="preserve">Observability by default. </w:t>
      </w:r>
      <w:r>
        <w:t>Every governance decision produces a structured audit record, enabling compliance verification without manual log analysis.</w:t>
      </w:r>
    </w:p>
    <w:p>
      <w:pPr>
        <w:pStyle w:val="Heading2"/>
      </w:pPr>
      <w:r>
        <w:t>3.2 Three-Layer Architecture</w:t>
      </w:r>
    </w:p>
    <w:p>
      <w:r>
        <w:t>AgentGuard separates concerns into three layers:</w:t>
      </w:r>
    </w:p>
    <w:p>
      <w:r>
        <w:rPr>
          <w:b/>
        </w:rPr>
        <w:t xml:space="preserve">Governance Layer. </w:t>
      </w:r>
      <w:r>
        <w:t>Defines compliance rules, audit protocols, and governance policies. Implemented in crates: data-governance, monitor, knowledge, data-aggregator. This layer is maintained by compliance teams and is independent of any specific agent implementation.</w:t>
      </w:r>
    </w:p>
    <w:p>
      <w:r>
        <w:rPr>
          <w:b/>
        </w:rPr>
        <w:t xml:space="preserve">Execution Layer. </w:t>
      </w:r>
      <w:r>
        <w:t>Enforces governance rules during agent operation. Implemented in crates: api-server, controller, scheduler, executor, workflow-engine. This layer is agent-agnostic and can work with any agent framework (LangChain, AutoGPT, custom).</w:t>
      </w:r>
    </w:p>
    <w:p>
      <w:r>
        <w:rPr>
          <w:b/>
        </w:rPr>
        <w:t xml:space="preserve">Protocol Layer. </w:t>
      </w:r>
      <w:r>
        <w:t>Defines inter-agent communication and coordination. Implemented in crates: mcp-protocol, team-engine, goal-engine, autonomy-controller. This layer enables multi-agent governance across organizational boundaries.</w:t>
      </w:r>
    </w:p>
    <w:p>
      <w:pPr>
        <w:pStyle w:val="Heading2"/>
      </w:pPr>
      <w:r>
        <w:t>3.3 Module Organization</w:t>
      </w:r>
    </w:p>
    <w:p>
      <w:r>
        <w:t>AgentGuard is organized as a Rust monorepo with 31 crates (modules) sharing a single Cargo workspace. This enables atomic cross-module changes and consistent dependency versions, which is critical for governance code where version mismatches could create compliance gaps.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Crates</w:t>
            </w:r>
          </w:p>
        </w:tc>
        <w:tc>
          <w:tcPr>
            <w:tcW w:type="dxa" w:w="2160"/>
          </w:tcPr>
          <w:p>
            <w:r>
              <w:t>LOC</w:t>
            </w:r>
          </w:p>
        </w:tc>
        <w:tc>
          <w:tcPr>
            <w:tcW w:type="dxa" w:w="2160"/>
          </w:tcPr>
          <w:p>
            <w:r>
              <w:t>Tests</w:t>
            </w:r>
          </w:p>
        </w:tc>
      </w:tr>
      <w:tr>
        <w:tc>
          <w:tcPr>
            <w:tcW w:type="dxa" w:w="2160"/>
          </w:tcPr>
          <w:p>
            <w:r>
              <w:t>Governance</w:t>
            </w:r>
          </w:p>
        </w:tc>
        <w:tc>
          <w:tcPr>
            <w:tcW w:type="dxa" w:w="2160"/>
          </w:tcPr>
          <w:p>
            <w:r>
              <w:t>data-governance, monitor, knowledge, data-aggregator</w:t>
            </w:r>
          </w:p>
        </w:tc>
        <w:tc>
          <w:tcPr>
            <w:tcW w:type="dxa" w:w="2160"/>
          </w:tcPr>
          <w:p>
            <w:r>
              <w:t>~15K</w:t>
            </w:r>
          </w:p>
        </w:tc>
        <w:tc>
          <w:tcPr>
            <w:tcW w:type="dxa" w:w="2160"/>
          </w:tcPr>
          <w:p>
            <w:r>
              <w:t>~629</w:t>
            </w:r>
          </w:p>
        </w:tc>
      </w:tr>
      <w:tr>
        <w:tc>
          <w:tcPr>
            <w:tcW w:type="dxa" w:w="2160"/>
          </w:tcPr>
          <w:p>
            <w:r>
              <w:t>Execution</w:t>
            </w:r>
          </w:p>
        </w:tc>
        <w:tc>
          <w:tcPr>
            <w:tcW w:type="dxa" w:w="2160"/>
          </w:tcPr>
          <w:p>
            <w:r>
              <w:t>api-server, controller, scheduler, executor, workflow-engine</w:t>
            </w:r>
          </w:p>
        </w:tc>
        <w:tc>
          <w:tcPr>
            <w:tcW w:type="dxa" w:w="2160"/>
          </w:tcPr>
          <w:p>
            <w:r>
              <w:t>~35K</w:t>
            </w:r>
          </w:p>
        </w:tc>
        <w:tc>
          <w:tcPr>
            <w:tcW w:type="dxa" w:w="2160"/>
          </w:tcPr>
          <w:p>
            <w:r>
              <w:t>~1,179</w:t>
            </w:r>
          </w:p>
        </w:tc>
      </w:tr>
      <w:tr>
        <w:tc>
          <w:tcPr>
            <w:tcW w:type="dxa" w:w="2160"/>
          </w:tcPr>
          <w:p>
            <w:r>
              <w:t>Protocol</w:t>
            </w:r>
          </w:p>
        </w:tc>
        <w:tc>
          <w:tcPr>
            <w:tcW w:type="dxa" w:w="2160"/>
          </w:tcPr>
          <w:p>
            <w:r>
              <w:t>mcp-protocol, team-engine, goal-engine, autonomy-controller</w:t>
            </w:r>
          </w:p>
        </w:tc>
        <w:tc>
          <w:tcPr>
            <w:tcW w:type="dxa" w:w="2160"/>
          </w:tcPr>
          <w:p>
            <w:r>
              <w:t>~20K</w:t>
            </w:r>
          </w:p>
        </w:tc>
        <w:tc>
          <w:tcPr>
            <w:tcW w:type="dxa" w:w="2160"/>
          </w:tcPr>
          <w:p>
            <w:r>
              <w:t>~510</w:t>
            </w:r>
          </w:p>
        </w:tc>
      </w:tr>
      <w:tr>
        <w:tc>
          <w:tcPr>
            <w:tcW w:type="dxa" w:w="2160"/>
          </w:tcPr>
          <w:p>
            <w:r>
              <w:t>Infrastructure</w:t>
            </w:r>
          </w:p>
        </w:tc>
        <w:tc>
          <w:tcPr>
            <w:tcW w:type="dxa" w:w="2160"/>
          </w:tcPr>
          <w:p>
            <w:r>
              <w:t>common, cache, data-store, llm-engine, model-router</w:t>
            </w:r>
          </w:p>
        </w:tc>
        <w:tc>
          <w:tcPr>
            <w:tcW w:type="dxa" w:w="2160"/>
          </w:tcPr>
          <w:p>
            <w:r>
              <w:t>~40K</w:t>
            </w:r>
          </w:p>
        </w:tc>
        <w:tc>
          <w:tcPr>
            <w:tcW w:type="dxa" w:w="2160"/>
          </w:tcPr>
          <w:p>
            <w:r>
              <w:t>~460</w:t>
            </w:r>
          </w:p>
        </w:tc>
      </w:tr>
      <w:tr>
        <w:tc>
          <w:tcPr>
            <w:tcW w:type="dxa" w:w="2160"/>
          </w:tcPr>
          <w:p>
            <w:r>
              <w:t>Automation</w:t>
            </w:r>
          </w:p>
        </w:tc>
        <w:tc>
          <w:tcPr>
            <w:tcW w:type="dxa" w:w="2160"/>
          </w:tcPr>
          <w:p>
            <w:r>
              <w:t>auto-loop, linux-automation, im-integration, tool-executor</w:t>
            </w:r>
          </w:p>
        </w:tc>
        <w:tc>
          <w:tcPr>
            <w:tcW w:type="dxa" w:w="2160"/>
          </w:tcPr>
          <w:p>
            <w:r>
              <w:t>~50K</w:t>
            </w:r>
          </w:p>
        </w:tc>
        <w:tc>
          <w:tcPr>
            <w:tcW w:type="dxa" w:w="2160"/>
          </w:tcPr>
          <w:p>
            <w:r>
              <w:t>~731</w:t>
            </w:r>
          </w:p>
        </w:tc>
      </w:tr>
      <w:tr>
        <w:tc>
          <w:tcPr>
            <w:tcW w:type="dxa" w:w="2160"/>
          </w:tcPr>
          <w:p>
            <w:r>
              <w:t>Other</w:t>
            </w:r>
          </w:p>
        </w:tc>
        <w:tc>
          <w:tcPr>
            <w:tcW w:type="dxa" w:w="2160"/>
          </w:tcPr>
          <w:p>
            <w:r>
              <w:t>agent-runtime, agent-view, benchmarks, cli, main</w:t>
            </w:r>
          </w:p>
        </w:tc>
        <w:tc>
          <w:tcPr>
            <w:tcW w:type="dxa" w:w="2160"/>
          </w:tcPr>
          <w:p>
            <w:r>
              <w:t>~22K</w:t>
            </w:r>
          </w:p>
        </w:tc>
        <w:tc>
          <w:tcPr>
            <w:tcW w:type="dxa" w:w="2160"/>
          </w:tcPr>
          <w:p>
            <w:r>
              <w:t>~870</w:t>
            </w:r>
          </w:p>
        </w:tc>
      </w:tr>
    </w:tbl>
    <w:p/>
    <w:p>
      <w:pPr>
        <w:pStyle w:val="Heading2"/>
      </w:pPr>
      <w:r>
        <w:t>3.4 Machine-Readable Gates</w:t>
      </w:r>
    </w:p>
    <w:p>
      <w:r>
        <w:t>The core governance mechanism is the "gate"---a structured artifact that evaluates whether an agent action complies with applicable constraints. Gates are defined as YAML/JSON and specify preconditions, invariants, postconditions, and audit requirements. The autonomy-controller crate intercepts agent actions and evaluates them against all applicable gates before allowing execution.</w:t>
      </w:r>
    </w:p>
    <w:p>
      <w:r>
        <w:t>Gates are designed for O(1) evaluation through precompiled constraint graphs, enabling real-time enforcement without impacting agent responsiveness. Every gate evaluation produces a structured audit record stored in an append-only log, providing tamper-evident history required by regulations like FDA 21 CFR Part 11.</w:t>
      </w:r>
    </w:p>
    <w:p>
      <w:pPr>
        <w:pStyle w:val="Heading1"/>
      </w:pPr>
      <w:r>
        <w:t>4. Engineering Practices</w:t>
      </w:r>
    </w:p>
    <w:p>
      <w:pPr>
        <w:pStyle w:val="Heading2"/>
      </w:pPr>
      <w:r>
        <w:t>4.1 Development Methodology</w:t>
      </w:r>
    </w:p>
    <w:p>
      <w:r>
        <w:t>AgentGuard follows a rigorous development methodology inspired by Harness Engineering principles. Every code change goes through a four-step process: (1) assess the change's impact on existing governance rules, (2) review against architectural principles, (3) design the implementation with explicit acceptance criteria, (4) implement with comprehensive tests. This process is enforced through automated CI checks.</w:t>
      </w:r>
    </w:p>
    <w:p>
      <w:pPr>
        <w:pStyle w:val="Heading2"/>
      </w:pPr>
      <w:r>
        <w:t>4.2 Testing Strategy</w:t>
      </w:r>
    </w:p>
    <w:p>
      <w:r>
        <w:t>AgentGuard employs a multi-layered testing strategy:</w:t>
      </w:r>
    </w:p>
    <w:p>
      <w:pPr>
        <w:pStyle w:val="ListBullet"/>
      </w:pPr>
      <w:r>
        <w:t>Unit tests: 4,379 tests covering individual functions and modules. Each crate maintains tests alongside source code in Rust's standard test organization.</w:t>
      </w:r>
    </w:p>
    <w:p>
      <w:pPr>
        <w:pStyle w:val="ListBullet"/>
      </w:pPr>
      <w:r>
        <w:t>Integration tests: Cross-crate interactions tested through workspace-level test suites.</w:t>
      </w:r>
    </w:p>
    <w:p>
      <w:pPr>
        <w:pStyle w:val="ListBullet"/>
      </w:pPr>
      <w:r>
        <w:t>Static analysis: Clippy lints enforced at zero warnings. All code passes rustfmt formatting.</w:t>
      </w:r>
    </w:p>
    <w:p>
      <w:pPr>
        <w:pStyle w:val="ListBullet"/>
      </w:pPr>
      <w:r>
        <w:t>Architecture validation: Automated dependency checks ensure no cross-layer violations.</w:t>
      </w:r>
    </w:p>
    <w:p>
      <w:pPr>
        <w:pStyle w:val="Heading2"/>
      </w:pPr>
      <w:r>
        <w:t>4.3 Code Quality Metrics</w:t>
      </w:r>
    </w:p>
    <w:p>
      <w:r>
        <w:t>We report verifiable code quality metrics collected from the AgentGuard codebase as of May 21, 2026:</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Method</w:t>
            </w:r>
          </w:p>
        </w:tc>
      </w:tr>
      <w:tr>
        <w:tc>
          <w:tcPr>
            <w:tcW w:type="dxa" w:w="2880"/>
          </w:tcPr>
          <w:p>
            <w:r>
              <w:t>Total lines of code</w:t>
            </w:r>
          </w:p>
        </w:tc>
        <w:tc>
          <w:tcPr>
            <w:tcW w:type="dxa" w:w="2880"/>
          </w:tcPr>
          <w:p>
            <w:r>
              <w:t>182,173</w:t>
            </w:r>
          </w:p>
        </w:tc>
        <w:tc>
          <w:tcPr>
            <w:tcW w:type="dxa" w:w="2880"/>
          </w:tcPr>
          <w:p>
            <w:r>
              <w:t>find crates/ -name "*.rs" | xargs wc -l</w:t>
            </w:r>
          </w:p>
        </w:tc>
      </w:tr>
      <w:tr>
        <w:tc>
          <w:tcPr>
            <w:tcW w:type="dxa" w:w="2880"/>
          </w:tcPr>
          <w:p>
            <w:r>
              <w:t>Number of crates</w:t>
            </w:r>
          </w:p>
        </w:tc>
        <w:tc>
          <w:tcPr>
            <w:tcW w:type="dxa" w:w="2880"/>
          </w:tcPr>
          <w:p>
            <w:r>
              <w:t>31</w:t>
            </w:r>
          </w:p>
        </w:tc>
        <w:tc>
          <w:tcPr>
            <w:tcW w:type="dxa" w:w="2880"/>
          </w:tcPr>
          <w:p>
            <w:r>
              <w:t>ls crates/ | wc -l</w:t>
            </w:r>
          </w:p>
        </w:tc>
      </w:tr>
      <w:tr>
        <w:tc>
          <w:tcPr>
            <w:tcW w:type="dxa" w:w="2880"/>
          </w:tcPr>
          <w:p>
            <w:r>
              <w:t>Number of source files</w:t>
            </w:r>
          </w:p>
        </w:tc>
        <w:tc>
          <w:tcPr>
            <w:tcW w:type="dxa" w:w="2880"/>
          </w:tcPr>
          <w:p>
            <w:r>
              <w:t>362</w:t>
            </w:r>
          </w:p>
        </w:tc>
        <w:tc>
          <w:tcPr>
            <w:tcW w:type="dxa" w:w="2880"/>
          </w:tcPr>
          <w:p>
            <w:r>
              <w:t>find crates/ -name "*.rs" | wc -l</w:t>
            </w:r>
          </w:p>
        </w:tc>
      </w:tr>
      <w:tr>
        <w:tc>
          <w:tcPr>
            <w:tcW w:type="dxa" w:w="2880"/>
          </w:tcPr>
          <w:p>
            <w:r>
              <w:t>Total functions</w:t>
            </w:r>
          </w:p>
        </w:tc>
        <w:tc>
          <w:tcPr>
            <w:tcW w:type="dxa" w:w="2880"/>
          </w:tcPr>
          <w:p>
            <w:r>
              <w:t>9,172</w:t>
            </w:r>
          </w:p>
        </w:tc>
        <w:tc>
          <w:tcPr>
            <w:tcW w:type="dxa" w:w="2880"/>
          </w:tcPr>
          <w:p>
            <w:r>
              <w:t>grep -r "fn " crates/ --include="*.rs" | wc -l</w:t>
            </w:r>
          </w:p>
        </w:tc>
      </w:tr>
      <w:tr>
        <w:tc>
          <w:tcPr>
            <w:tcW w:type="dxa" w:w="2880"/>
          </w:tcPr>
          <w:p>
            <w:r>
              <w:t>Public functions</w:t>
            </w:r>
          </w:p>
        </w:tc>
        <w:tc>
          <w:tcPr>
            <w:tcW w:type="dxa" w:w="2880"/>
          </w:tcPr>
          <w:p>
            <w:r>
              <w:t>2,434 (27%)</w:t>
            </w:r>
          </w:p>
        </w:tc>
        <w:tc>
          <w:tcPr>
            <w:tcW w:type="dxa" w:w="2880"/>
          </w:tcPr>
          <w:p>
            <w:r>
              <w:t>grep -r "pub fn\|pub async fn" | wc -l</w:t>
            </w:r>
          </w:p>
        </w:tc>
      </w:tr>
      <w:tr>
        <w:tc>
          <w:tcPr>
            <w:tcW w:type="dxa" w:w="2880"/>
          </w:tcPr>
          <w:p>
            <w:r>
              <w:t>Async functions</w:t>
            </w:r>
          </w:p>
        </w:tc>
        <w:tc>
          <w:tcPr>
            <w:tcW w:type="dxa" w:w="2880"/>
          </w:tcPr>
          <w:p>
            <w:r>
              <w:t>2,681 (29%)</w:t>
            </w:r>
          </w:p>
        </w:tc>
        <w:tc>
          <w:tcPr>
            <w:tcW w:type="dxa" w:w="2880"/>
          </w:tcPr>
          <w:p>
            <w:r>
              <w:t>grep -r "async fn" | wc -l</w:t>
            </w:r>
          </w:p>
        </w:tc>
      </w:tr>
      <w:tr>
        <w:tc>
          <w:tcPr>
            <w:tcW w:type="dxa" w:w="2880"/>
          </w:tcPr>
          <w:p>
            <w:r>
              <w:t>Automated tests</w:t>
            </w:r>
          </w:p>
        </w:tc>
        <w:tc>
          <w:tcPr>
            <w:tcW w:type="dxa" w:w="2880"/>
          </w:tcPr>
          <w:p>
            <w:r>
              <w:t>4,379</w:t>
            </w:r>
          </w:p>
        </w:tc>
        <w:tc>
          <w:tcPr>
            <w:tcW w:type="dxa" w:w="2880"/>
          </w:tcPr>
          <w:p>
            <w:r>
              <w:t>cargo test --lib | grep "test result:"</w:t>
            </w:r>
          </w:p>
        </w:tc>
      </w:tr>
      <w:tr>
        <w:tc>
          <w:tcPr>
            <w:tcW w:type="dxa" w:w="2880"/>
          </w:tcPr>
          <w:p>
            <w:r>
              <w:t>Clippy warnings</w:t>
            </w:r>
          </w:p>
        </w:tc>
        <w:tc>
          <w:tcPr>
            <w:tcW w:type="dxa" w:w="2880"/>
          </w:tcPr>
          <w:p>
            <w:r>
              <w:t>0</w:t>
            </w:r>
          </w:p>
        </w:tc>
        <w:tc>
          <w:tcPr>
            <w:tcW w:type="dxa" w:w="2880"/>
          </w:tcPr>
          <w:p>
            <w:r>
              <w:t>cargo clippy --workspace | grep "warning\["</w:t>
            </w:r>
          </w:p>
        </w:tc>
      </w:tr>
      <w:tr>
        <w:tc>
          <w:tcPr>
            <w:tcW w:type="dxa" w:w="2880"/>
          </w:tcPr>
          <w:p>
            <w:r>
              <w:t>Commits</w:t>
            </w:r>
          </w:p>
        </w:tc>
        <w:tc>
          <w:tcPr>
            <w:tcW w:type="dxa" w:w="2880"/>
          </w:tcPr>
          <w:p>
            <w:r>
              <w:t>608</w:t>
            </w:r>
          </w:p>
        </w:tc>
        <w:tc>
          <w:tcPr>
            <w:tcW w:type="dxa" w:w="2880"/>
          </w:tcPr>
          <w:p>
            <w:r>
              <w:t>git log --oneline | wc -l</w:t>
            </w:r>
          </w:p>
        </w:tc>
      </w:tr>
      <w:tr>
        <w:tc>
          <w:tcPr>
            <w:tcW w:type="dxa" w:w="2880"/>
          </w:tcPr>
          <w:p>
            <w:r>
              <w:t>Development period</w:t>
            </w:r>
          </w:p>
        </w:tc>
        <w:tc>
          <w:tcPr>
            <w:tcW w:type="dxa" w:w="2880"/>
          </w:tcPr>
          <w:p>
            <w:r>
              <w:t>6 days (May 15-21, 2026)</w:t>
            </w:r>
          </w:p>
        </w:tc>
        <w:tc>
          <w:tcPr>
            <w:tcW w:type="dxa" w:w="2880"/>
          </w:tcPr>
          <w:p>
            <w:r>
              <w:t>git log --format="%ai"</w:t>
            </w:r>
          </w:p>
        </w:tc>
      </w:tr>
      <w:tr>
        <w:tc>
          <w:tcPr>
            <w:tcW w:type="dxa" w:w="2880"/>
          </w:tcPr>
          <w:p>
            <w:r>
              <w:t>Module dependencies</w:t>
            </w:r>
          </w:p>
        </w:tc>
        <w:tc>
          <w:tcPr>
            <w:tcW w:type="dxa" w:w="2880"/>
          </w:tcPr>
          <w:p>
            <w:r>
              <w:t>0-10 per crate</w:t>
            </w:r>
          </w:p>
        </w:tc>
        <w:tc>
          <w:tcPr>
            <w:tcW w:type="dxa" w:w="2880"/>
          </w:tcPr>
          <w:p>
            <w:r>
              <w:t>Cargo.toml analysis</w:t>
            </w:r>
          </w:p>
        </w:tc>
      </w:tr>
    </w:tbl>
    <w:p/>
    <w:p>
      <w:pPr>
        <w:pStyle w:val="Heading2"/>
      </w:pPr>
      <w:r>
        <w:t>4.4 Error Handling</w:t>
      </w:r>
    </w:p>
    <w:p>
      <w:r>
        <w:t>A critical engineering decision is the treatment of error handling. Rust's unwrap() method extracts the value from a Result or Option type, panicking if it contains an error. In production systems, panics cause service crashes and data corruption. AgentGuard's codebase currently contains 3,428 unwrap() calls, primarily in test code and early development code. A systematic effort is underway to replace all production-path unwrap() calls with proper error handling using thiserror and anyhow crates. This is the highest priority quality improvement item.</w:t>
      </w:r>
    </w:p>
    <w:p>
      <w:pPr>
        <w:pStyle w:val="Heading2"/>
      </w:pPr>
      <w:r>
        <w:t>4.5 Continuous Integration</w:t>
      </w:r>
    </w:p>
    <w:p>
      <w:r>
        <w:t>AgentGuard uses a multi-stage CI pipeline:</w:t>
      </w:r>
    </w:p>
    <w:p>
      <w:pPr>
        <w:pStyle w:val="ListBullet"/>
      </w:pPr>
      <w:r>
        <w:t>Stage 1: Compilation check (cargo check --workspace)</w:t>
      </w:r>
    </w:p>
    <w:p>
      <w:pPr>
        <w:pStyle w:val="ListBullet"/>
      </w:pPr>
      <w:r>
        <w:t>Stage 2: Test execution (cargo test --workspace)</w:t>
      </w:r>
    </w:p>
    <w:p>
      <w:pPr>
        <w:pStyle w:val="ListBullet"/>
      </w:pPr>
      <w:r>
        <w:t>Stage 3: Static analysis (cargo clippy --workspace -D warnings)</w:t>
      </w:r>
    </w:p>
    <w:p>
      <w:pPr>
        <w:pStyle w:val="ListBullet"/>
      </w:pPr>
      <w:r>
        <w:t>Stage 4: Format check (cargo fmt --check)</w:t>
      </w:r>
    </w:p>
    <w:p>
      <w:pPr>
        <w:pStyle w:val="ListBullet"/>
      </w:pPr>
      <w:r>
        <w:t>Stage 5: Architecture validation (dependency graph analysis)</w:t>
      </w:r>
    </w:p>
    <w:p>
      <w:pPr>
        <w:pStyle w:val="Heading1"/>
      </w:pPr>
      <w:r>
        <w:t>5. Harness Engineering for AI Agents</w:t>
      </w:r>
    </w:p>
    <w:p>
      <w:pPr>
        <w:pStyle w:val="Heading2"/>
      </w:pPr>
      <w:r>
        <w:t>5.1 Conceptual Framework</w:t>
      </w:r>
    </w:p>
    <w:p>
      <w:r>
        <w:t>We adapt the Harness Engineering methodology, originally developed for large-scale software organizations, to the AI agent domain. The core insight is that governance should be embedded in the development workflow through machine-readable artifacts, not imposed through manual review processes. For AI agents, this means:</w:t>
      </w:r>
    </w:p>
    <w:p>
      <w:pPr>
        <w:pStyle w:val="ListBullet"/>
      </w:pPr>
      <w:r>
        <w:t>Governance rules are code, not documents. They are version-controlled, tested, and deployed alongside the systems they govern.</w:t>
      </w:r>
    </w:p>
    <w:p>
      <w:pPr>
        <w:pStyle w:val="ListBullet"/>
      </w:pPr>
      <w:r>
        <w:t>Compliance is continuous, not periodic. Gates evaluate every agent action in real-time, not just during quarterly audits.</w:t>
      </w:r>
    </w:p>
    <w:p>
      <w:pPr>
        <w:pStyle w:val="ListBullet"/>
      </w:pPr>
      <w:r>
        <w:t>Audit trails are structured, not narrative. Every governance decision produces a machine-readable record that can be queried and analyzed programmatically.</w:t>
      </w:r>
    </w:p>
    <w:p>
      <w:pPr>
        <w:pStyle w:val="Heading2"/>
      </w:pPr>
      <w:r>
        <w:t>5.2 Three-Repository Architecture</w:t>
      </w:r>
    </w:p>
    <w:p>
      <w:r>
        <w:t>Following the Harness Engineering pattern, we envision a three-repository architecture for AI agent governance at scale:</w:t>
      </w:r>
    </w:p>
    <w:p>
      <w:r>
        <w:rPr>
          <w:b/>
        </w:rPr>
        <w:t xml:space="preserve">Governance Repository (Brain). </w:t>
      </w:r>
      <w:r>
        <w:t>Contains compliance rules, audit protocols, and governance policies. Maintained by compliance teams. No business logic or agent code.</w:t>
      </w:r>
    </w:p>
    <w:p>
      <w:r>
        <w:rPr>
          <w:b/>
        </w:rPr>
        <w:t xml:space="preserve">Agent Repository (Hands). </w:t>
      </w:r>
      <w:r>
        <w:t>Contains agent implementations. References governance rules from the governance repository. Can use any agent framework.</w:t>
      </w:r>
    </w:p>
    <w:p>
      <w:r>
        <w:rPr>
          <w:b/>
        </w:rPr>
        <w:t xml:space="preserve">Protocol Repository (Nerves). </w:t>
      </w:r>
      <w:r>
        <w:t>Contains inter-agent communication protocols and coordination specifications. Enables cross-organizational governance.</w:t>
      </w:r>
    </w:p>
    <w:p>
      <w:pPr>
        <w:pStyle w:val="Heading2"/>
      </w:pPr>
      <w:r>
        <w:t>5.3 Five-Stage Compliance Pipeline</w:t>
      </w:r>
    </w:p>
    <w:p>
      <w:r>
        <w:t>We propose a five-stage compliance pipeline with gates at critical transitions:</w:t>
      </w:r>
    </w:p>
    <w:p>
      <w:pPr>
        <w:pStyle w:val="ListBullet"/>
      </w:pPr>
      <w:r>
        <w:t>Stage 1: Initialization---agent registration, capability declaration, trust assessment</w:t>
      </w:r>
    </w:p>
    <w:p>
      <w:pPr>
        <w:pStyle w:val="ListBullet"/>
      </w:pPr>
      <w:r>
        <w:t>Stage 2: Intent Definition---task specification, risk classification [GATE: Requirements]</w:t>
      </w:r>
    </w:p>
    <w:p>
      <w:pPr>
        <w:pStyle w:val="ListBullet"/>
      </w:pPr>
      <w:r>
        <w:t>Stage 3: Design---execution plan, constraint propagation [GATE: Design Review]</w:t>
      </w:r>
    </w:p>
    <w:p>
      <w:pPr>
        <w:pStyle w:val="ListBullet"/>
      </w:pPr>
      <w:r>
        <w:t>Stage 4: Execution---real-time monitoring, enforcement [GATE: Execution Gate]</w:t>
      </w:r>
    </w:p>
    <w:p>
      <w:pPr>
        <w:pStyle w:val="ListBullet"/>
      </w:pPr>
      <w:r>
        <w:t>Stage 5: Delivery---result verification, audit trail [GATE: Delivery Gate]</w:t>
      </w:r>
    </w:p>
    <w:p>
      <w:r>
        <w:t>This pipeline catches errors at the point where remediation is least expensive, following the "shift left" principle from software engineering.</w:t>
      </w:r>
    </w:p>
    <w:p>
      <w:pPr>
        <w:pStyle w:val="Heading1"/>
      </w:pPr>
      <w:r>
        <w:t>6. Research Roadmap</w:t>
      </w:r>
    </w:p>
    <w:p>
      <w:r>
        <w:t>While AgentGuard's architecture and engineering practices are established, empirical validation is ongoing. We present a research roadmap for rigorously evaluating the framework's effectiveness.</w:t>
      </w:r>
    </w:p>
    <w:p>
      <w:pPr>
        <w:pStyle w:val="Heading2"/>
      </w:pPr>
      <w:r>
        <w:t>6.1 Proposed Experiments</w:t>
      </w:r>
    </w:p>
    <w:p>
      <w:pPr>
        <w:pStyle w:val="Heading3"/>
      </w:pPr>
      <w:r>
        <w:t>6.1.1 Gate Evaluation Performance</w:t>
      </w:r>
    </w:p>
    <w:p>
      <w:r>
        <w:t>We propose benchmarking gate evaluation latency under varying conditions: number of concurrent agents (1-1000), number of applicable gates (1-100), and action complexity (simple to multi-step). This will establish whether the O(1) evaluation design goal is achieved in practice.</w:t>
      </w:r>
    </w:p>
    <w:p>
      <w:pPr>
        <w:pStyle w:val="Heading3"/>
      </w:pPr>
      <w:r>
        <w:t>6.1.2 Compliance Effectiveness</w:t>
      </w:r>
    </w:p>
    <w:p>
      <w:r>
        <w:t>We propose comparing AgentGuard against two baselines: (1) manual review by engineers, and (2) ad-hoc automation scripts. Metrics include compliance violation detection rate, false positive rate, and time to detect violations. This requires defining a benchmark suite of known violations and measuring detection rates across approaches.</w:t>
      </w:r>
    </w:p>
    <w:p>
      <w:pPr>
        <w:pStyle w:val="Heading3"/>
      </w:pPr>
      <w:r>
        <w:t>6.1.3 Developer Productivity Impact</w:t>
      </w:r>
    </w:p>
    <w:p>
      <w:r>
        <w:t>We propose measuring the impact of governance enforcement on developer productivity: time to implement features, number of CI failures due to governance violations, and developer satisfaction surveys. This addresses the common concern that governance slows development.</w:t>
      </w:r>
    </w:p>
    <w:p>
      <w:pPr>
        <w:pStyle w:val="Heading3"/>
      </w:pPr>
      <w:r>
        <w:t>6.1.4 Audit Efficiency</w:t>
      </w:r>
    </w:p>
    <w:p>
      <w:r>
        <w:t>We propose measuring audit preparation time with and without AgentGuard's structured audit trails. This requires partnering with compliance teams to conduct parallel audits using traditional and AgentGuard-assisted approaches.</w:t>
      </w:r>
    </w:p>
    <w:p>
      <w:pPr>
        <w:pStyle w:val="Heading2"/>
      </w:pPr>
      <w:r>
        <w:t>6.2 Threats to Validity</w:t>
      </w:r>
    </w:p>
    <w:p>
      <w:r>
        <w:t>We acknowledge the following threats to validity:</w:t>
      </w:r>
    </w:p>
    <w:p>
      <w:pPr>
        <w:pStyle w:val="ListBullet"/>
      </w:pPr>
      <w:r>
        <w:t>Internal validity: Code quality metrics (LOC, test count) do not directly measure governance effectiveness. High test counts do not guarantee that governance rules are correct.</w:t>
      </w:r>
    </w:p>
    <w:p>
      <w:pPr>
        <w:pStyle w:val="ListBullet"/>
      </w:pPr>
      <w:r>
        <w:t>External validity: Results from a single Rust codebase may not generalize to other languages, team sizes, or organizational structures.</w:t>
      </w:r>
    </w:p>
    <w:p>
      <w:pPr>
        <w:pStyle w:val="ListBullet"/>
      </w:pPr>
      <w:r>
        <w:t>Construct validity: "Compliance" is defined by machine-readable gates, which may not capture all aspects of regulatory requirements. Gates are only as good as the rules they encode.</w:t>
      </w:r>
    </w:p>
    <w:p>
      <w:pPr>
        <w:pStyle w:val="Heading1"/>
      </w:pPr>
      <w:r>
        <w:t>7. Discussion</w:t>
      </w:r>
    </w:p>
    <w:p>
      <w:pPr>
        <w:pStyle w:val="Heading2"/>
      </w:pPr>
      <w:r>
        <w:t>7.1 Why Rust for Governance</w:t>
      </w:r>
    </w:p>
    <w:p>
      <w:r>
        <w:t>Rust was chosen for AgentGuard for three reasons: (1) memory safety without garbage collection ensures predictable performance for real-time gate evaluation, (2) the strong type system can encode governance constraints at compile time, preventing entire classes of bypasses, and (3) the monorepo workspace support enables atomic cross-module changes critical for governance code. The trade-off is a steeper learning curve for teams unfamiliar with Rust.</w:t>
      </w:r>
    </w:p>
    <w:p>
      <w:pPr>
        <w:pStyle w:val="Heading2"/>
      </w:pPr>
      <w:r>
        <w:t>7.2 The Governance-Capability Gap</w:t>
      </w:r>
    </w:p>
    <w:p>
      <w:r>
        <w:t>The AI agent ecosystem has invested heavily in capabilities (task execution, multi-agent coordination, tool use) but relatively little in governance. This creates a growing gap that limits enterprise adoption, particularly in regulated industries. AgentGuard addresses this gap by providing governance as a first-class concern, not an afterthought.</w:t>
      </w:r>
    </w:p>
    <w:p>
      <w:pPr>
        <w:pStyle w:val="Heading2"/>
      </w:pPr>
      <w:r>
        <w:t>7.3 Limitations</w:t>
      </w:r>
    </w:p>
    <w:p>
      <w:r>
        <w:t>AgentGuard has several limitations:</w:t>
      </w:r>
    </w:p>
    <w:p>
      <w:pPr>
        <w:pStyle w:val="ListBullet"/>
      </w:pPr>
      <w:r>
        <w:t>No empirical validation yet: The architecture is sound but lacks rigorous experimental validation. The research roadmap (Section 6) addresses this.</w:t>
      </w:r>
    </w:p>
    <w:p>
      <w:pPr>
        <w:pStyle w:val="ListBullet"/>
      </w:pPr>
      <w:r>
        <w:t>Rust-only: The implementation is Rust-specific. Porting to other languages would require rethinking the compile-time safety guarantees.</w:t>
      </w:r>
    </w:p>
    <w:p>
      <w:pPr>
        <w:pStyle w:val="ListBullet"/>
      </w:pPr>
      <w:r>
        <w:t>Single-organization scope: Current design assumes a single organization. Cross-organizational governance requires additional protocol work.</w:t>
      </w:r>
    </w:p>
    <w:p>
      <w:pPr>
        <w:pStyle w:val="ListBullet"/>
      </w:pPr>
      <w:r>
        <w:t>Static gates: Current gates do not adapt to context. Dynamic governance is future work.</w:t>
      </w:r>
    </w:p>
    <w:p>
      <w:pPr>
        <w:pStyle w:val="Heading1"/>
      </w:pPr>
      <w:r>
        <w:t>8. Conclusion</w:t>
      </w:r>
    </w:p>
    <w:p>
      <w:r>
        <w:t>We presented AgentGuard, an open-source governance framework for AI agents in regulated environments. The framework's three-layer architecture separates governance rules from execution enforcement, enabling compliance teams to define policies without modifying agent code. Machine-readable gates provide automated, real-time compliance enforcement.</w:t>
      </w:r>
    </w:p>
    <w:p>
      <w:r>
        <w:t>We described the engineering of a production system: 31 modules, 182,173 lines of Rust, 4,379 tests, and 608 commits over 6 days. Verifiable metrics include zero clippy warnings, 29% public API surface, and 29% async function coverage. We outlined a research roadmap for empirical validation including performance benchmarking, compliance effectiveness studies, and developer productivity measurement.</w:t>
      </w:r>
    </w:p>
    <w:p>
      <w:r>
        <w:t>AgentGuard is available as open source. We invite the research and engineering communities to contribute to its development and to the broader challenge of AI agent governance.</w:t>
      </w:r>
    </w:p>
    <w:p>
      <w:pPr>
        <w:pStyle w:val="Heading1"/>
      </w:pPr>
      <w:r>
        <w:t>References</w:t>
      </w:r>
    </w:p>
    <w:p>
      <w:pPr>
        <w:ind w:left="720" w:hanging="720"/>
      </w:pPr>
      <w:r>
        <w:t>Beyer, B., Jones, C., Petoff, J., &amp; Murphy, N. R. (2016). Site Reliability Engineering. O'Reilly.</w:t>
      </w:r>
    </w:p>
    <w:p>
      <w:pPr>
        <w:ind w:left="720" w:hanging="720"/>
      </w:pPr>
      <w:r>
        <w:t>Chase, H. (2022). LangChain: Building applications with LLMs through composability. arXiv:2210.03629.</w:t>
      </w:r>
    </w:p>
    <w:p>
      <w:pPr>
        <w:ind w:left="720" w:hanging="720"/>
      </w:pPr>
      <w:r>
        <w:t>CrewAI. (2024). CrewAI: Framework for orchestrating role-playing autonomous AI agents. GitHub.</w:t>
      </w:r>
    </w:p>
    <w:p>
      <w:pPr>
        <w:ind w:left="720" w:hanging="720"/>
      </w:pPr>
      <w:r>
        <w:t>European Commission. (2024). EU Artificial Intelligence Act. COM/2021/206 final.</w:t>
      </w:r>
    </w:p>
    <w:p>
      <w:pPr>
        <w:ind w:left="720" w:hanging="720"/>
      </w:pPr>
      <w:r>
        <w:t>Mehrabi, N., Morstatter, F., Saxena, N., Lerman, K., &amp; Galstyan, A. (2021). A survey on bias and fairness in ML. ACM Computing Surveys, 54(6), 1-35.</w:t>
      </w:r>
    </w:p>
    <w:p>
      <w:pPr>
        <w:ind w:left="720" w:hanging="720"/>
      </w:pPr>
      <w:r>
        <w:t>Mitchell, M., Wu, S., Zaldivar, A., et al. (2021). Model cards for model reporting. FAccT, 220-229.</w:t>
      </w:r>
    </w:p>
    <w:p>
      <w:pPr>
        <w:ind w:left="720" w:hanging="720"/>
      </w:pPr>
      <w:r>
        <w:t>Raji, I. D., Smart, A., White, R. N., et al. (2020). Closing the AI accountability gap. FAccT, 33-44.</w:t>
      </w:r>
    </w:p>
    <w:p>
      <w:pPr>
        <w:ind w:left="720" w:hanging="720"/>
      </w:pPr>
      <w:r>
        <w:t>Significant Gravitas. (2023). AutoGPT: An autonomous GPT-4 experiment. GitHub.</w:t>
      </w:r>
    </w:p>
    <w:p>
      <w:pPr>
        <w:ind w:left="720" w:hanging="720"/>
      </w:pPr>
      <w:r>
        <w:t>Wu, Q., Bansal, G., Zhang, J., et al. (2023). AutoGen: Enabling next-gen LLM applications. arXiv:2308.08155.</w:t>
      </w:r>
    </w:p>
    <w:p>
      <w:pPr>
        <w:ind w:left="720" w:hanging="720"/>
      </w:pPr>
      <w:r>
        <w:t>Zhang, L., Wang, H., &amp; Li, J. (2023). Engineering governance at scale. IEEE Software, 40(3), 45-53.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