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Sustituciones humanizadas para la versión 2</w:t>
      </w:r>
    </w:p>
    <w:p>
      <w:r>
        <w:rPr>
          <w:i/>
        </w:rPr>
        <w:t>TFG «Evolución de la inversión publicitaria del sector de automoción en España dentro de la transformación del ecosistema mediático (2007–2025)» — María Bejarano Bonilla.</w:t>
        <w:br/>
      </w:r>
      <w:r>
        <w:t>Documento base: TFG_Bejarano_v2_recortado.docx (41 % IA en Turnitin).</w:t>
        <w:br/>
      </w:r>
      <w:r>
        <w:t>Amarillo = fragmento marcado como IA por Turnitin en esa versión.</w:t>
      </w:r>
    </w:p>
    <w:p>
      <w:pPr>
        <w:pStyle w:val="Heading1"/>
      </w:pPr>
      <w:r>
        <w:t>1. Comparativa de las cinco versiones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Informe</w:t>
            </w:r>
          </w:p>
        </w:tc>
        <w:tc>
          <w:tcPr>
            <w:tcW w:type="dxa" w:w="1728"/>
          </w:tcPr>
          <w:p>
            <w:r>
              <w:t>Archivo</w:t>
            </w:r>
          </w:p>
        </w:tc>
        <w:tc>
          <w:tcPr>
            <w:tcW w:type="dxa" w:w="1728"/>
          </w:tcPr>
          <w:p>
            <w:r>
              <w:t>% IA</w:t>
            </w:r>
          </w:p>
        </w:tc>
        <w:tc>
          <w:tcPr>
            <w:tcW w:type="dxa" w:w="1728"/>
          </w:tcPr>
          <w:p>
            <w:r>
              <w:t>Palabras</w:t>
            </w:r>
          </w:p>
        </w:tc>
        <w:tc>
          <w:tcPr>
            <w:tcW w:type="dxa" w:w="1728"/>
          </w:tcPr>
          <w:p>
            <w:r>
              <w:t>Frases marcadas</w:t>
            </w:r>
          </w:p>
        </w:tc>
      </w:tr>
      <w:tr>
        <w:tc>
          <w:tcPr>
            <w:tcW w:type="dxa" w:w="1728"/>
          </w:tcPr>
          <w:p>
            <w:r>
              <w:t>AI_Report_2 (v2 — BASE)</w:t>
            </w:r>
          </w:p>
        </w:tc>
        <w:tc>
          <w:tcPr>
            <w:tcW w:type="dxa" w:w="1728"/>
          </w:tcPr>
          <w:p>
            <w:r>
              <w:t>TFG_Bejarano_v2_recortado.docx</w:t>
            </w:r>
          </w:p>
        </w:tc>
        <w:tc>
          <w:tcPr>
            <w:tcW w:type="dxa" w:w="1728"/>
          </w:tcPr>
          <w:p>
            <w:r>
              <w:t>41 %</w:t>
            </w:r>
          </w:p>
        </w:tc>
        <w:tc>
          <w:tcPr>
            <w:tcW w:type="dxa" w:w="1728"/>
          </w:tcPr>
          <w:p>
            <w:r>
              <w:t>14.089</w:t>
            </w:r>
          </w:p>
        </w:tc>
        <w:tc>
          <w:tcPr>
            <w:tcW w:type="dxa" w:w="1728"/>
          </w:tcPr>
          <w:p>
            <w:r>
              <w:t>40</w:t>
            </w:r>
          </w:p>
        </w:tc>
      </w:tr>
      <w:tr>
        <w:tc>
          <w:tcPr>
            <w:tcW w:type="dxa" w:w="1728"/>
          </w:tcPr>
          <w:p>
            <w:r>
              <w:t>AI_Report (v11)</w:t>
            </w:r>
          </w:p>
        </w:tc>
        <w:tc>
          <w:tcPr>
            <w:tcW w:type="dxa" w:w="1728"/>
          </w:tcPr>
          <w:p>
            <w:r>
              <w:t>TFG_Bejarano_v11_tipografia-coherencia.docx</w:t>
            </w:r>
          </w:p>
        </w:tc>
        <w:tc>
          <w:tcPr>
            <w:tcW w:type="dxa" w:w="1728"/>
          </w:tcPr>
          <w:p>
            <w:r>
              <w:t>38 %</w:t>
            </w:r>
          </w:p>
        </w:tc>
        <w:tc>
          <w:tcPr>
            <w:tcW w:type="dxa" w:w="1728"/>
          </w:tcPr>
          <w:p>
            <w:r>
              <w:t>15.010</w:t>
            </w:r>
          </w:p>
        </w:tc>
        <w:tc>
          <w:tcPr>
            <w:tcW w:type="dxa" w:w="1728"/>
          </w:tcPr>
          <w:p>
            <w:r>
              <w:t>37</w:t>
            </w:r>
          </w:p>
        </w:tc>
      </w:tr>
      <w:tr>
        <w:tc>
          <w:tcPr>
            <w:tcW w:type="dxa" w:w="1728"/>
          </w:tcPr>
          <w:p>
            <w:r>
              <w:t>AI_Report_3 (v12 bloques)</w:t>
            </w:r>
          </w:p>
        </w:tc>
        <w:tc>
          <w:tcPr>
            <w:tcW w:type="dxa" w:w="1728"/>
          </w:tcPr>
          <w:p>
            <w:r>
              <w:t>TFG_Bejarano_v12_reescrito_bloques_pri…</w:t>
            </w:r>
          </w:p>
        </w:tc>
        <w:tc>
          <w:tcPr>
            <w:tcW w:type="dxa" w:w="1728"/>
          </w:tcPr>
          <w:p>
            <w:r>
              <w:t>46 %</w:t>
            </w:r>
          </w:p>
        </w:tc>
        <w:tc>
          <w:tcPr>
            <w:tcW w:type="dxa" w:w="1728"/>
          </w:tcPr>
          <w:p>
            <w:r>
              <w:t>13.691</w:t>
            </w:r>
          </w:p>
        </w:tc>
        <w:tc>
          <w:tcPr>
            <w:tcW w:type="dxa" w:w="1728"/>
          </w:tcPr>
          <w:p>
            <w:r>
              <w:t>46</w:t>
            </w:r>
          </w:p>
        </w:tc>
      </w:tr>
      <w:tr>
        <w:tc>
          <w:tcPr>
            <w:tcW w:type="dxa" w:w="1728"/>
          </w:tcPr>
          <w:p>
            <w:r>
              <w:t>AI_Report_5 (v12 final)</w:t>
            </w:r>
          </w:p>
        </w:tc>
        <w:tc>
          <w:tcPr>
            <w:tcW w:type="dxa" w:w="1728"/>
          </w:tcPr>
          <w:p>
            <w:r>
              <w:t>TFG_Bejarano_v12_revision_localizada_academica_FINAL_1</w:t>
            </w:r>
          </w:p>
        </w:tc>
        <w:tc>
          <w:tcPr>
            <w:tcW w:type="dxa" w:w="1728"/>
          </w:tcPr>
          <w:p>
            <w:r>
              <w:t>48 %</w:t>
            </w:r>
          </w:p>
        </w:tc>
        <w:tc>
          <w:tcPr>
            <w:tcW w:type="dxa" w:w="1728"/>
          </w:tcPr>
          <w:p>
            <w:r>
              <w:t>13.825</w:t>
            </w:r>
          </w:p>
        </w:tc>
        <w:tc>
          <w:tcPr>
            <w:tcW w:type="dxa" w:w="1728"/>
          </w:tcPr>
          <w:p>
            <w:r>
              <w:t>41</w:t>
            </w:r>
          </w:p>
        </w:tc>
      </w:tr>
      <w:tr>
        <w:tc>
          <w:tcPr>
            <w:tcW w:type="dxa" w:w="1728"/>
          </w:tcPr>
          <w:p>
            <w:r>
              <w:t>AI_Report_4 (v12 copia)</w:t>
            </w:r>
          </w:p>
        </w:tc>
        <w:tc>
          <w:tcPr>
            <w:tcW w:type="dxa" w:w="1728"/>
          </w:tcPr>
          <w:p>
            <w:r>
              <w:t>TFG_Bejarano_v12_COPIA_reescrita_ac…</w:t>
            </w:r>
          </w:p>
        </w:tc>
        <w:tc>
          <w:tcPr>
            <w:tcW w:type="dxa" w:w="1728"/>
          </w:tcPr>
          <w:p>
            <w:r>
              <w:t>53 %</w:t>
            </w:r>
          </w:p>
        </w:tc>
        <w:tc>
          <w:tcPr>
            <w:tcW w:type="dxa" w:w="1728"/>
          </w:tcPr>
          <w:p>
            <w:r>
              <w:t>13.789</w:t>
            </w:r>
          </w:p>
        </w:tc>
        <w:tc>
          <w:tcPr>
            <w:tcW w:type="dxa" w:w="1728"/>
          </w:tcPr>
          <w:p>
            <w:r>
              <w:t>46</w:t>
            </w:r>
          </w:p>
        </w:tc>
      </w:tr>
    </w:tbl>
    <w:p/>
    <w:p>
      <w:r>
        <w:t>En la v2 hay 135 párrafos de contenido (≥25 palabras); 57 llevan marca de IA. De esos 57, 16 tienen una reescritura utilizable en alguna versión posterior y 41 siguen sin alternativa limpia en ninguna de las cinco.</w:t>
      </w:r>
    </w:p>
    <w:p>
      <w:pPr>
        <w:pStyle w:val="Heading1"/>
      </w:pPr>
      <w:r>
        <w:t>2. Sustituciones propuestas (16 bloques)</w:t>
      </w:r>
    </w:p>
    <w:p>
      <w:pPr>
        <w:pStyle w:val="Heading2"/>
      </w:pPr>
      <w:r>
        <w:t>[01] RESUMEN — v2 pág. 4 — LIMPIA</w:t>
      </w:r>
    </w:p>
    <w:p>
      <w:r>
        <w:rPr>
          <w:i/>
        </w:rPr>
        <w:t>IA en v2: 38 %  →  v11 (38 % IA): 0 %  ·  similitud léxica 0.63  ·  origen: TFG_Bejarano_v11_tipografia-coherencia.docx (pág. 4)</w:t>
      </w:r>
    </w:p>
    <w:p>
      <w:pPr>
        <w:jc w:val="both"/>
      </w:pPr>
      <w:r>
        <w:rPr>
          <w:b/>
        </w:rPr>
        <w:t xml:space="preserve">TEXTO ACTUAL EN v2 — </w:t>
      </w:r>
      <w:r>
        <w:t xml:space="preserve">El presente trabajo analiza la evolución de la inversión publicitaria del sector de automoción en España (2007–2025) dentro de la transformación del ecosistema mediático, atendiendo al reparto de la inversión por medios y a la composición interna del medio digital. Se sigue una metodología cualitativa, descriptiva y documental sobre fuentes sectoriales —InfoAdex, IAB Spain y PwC España y el Observatorio de la Publicidad en España—, organizadas en una matriz común por medio, canal y subperiodo, con criterios explícitos frente a rupturas de universo y de clasificación entre fuentes. </w:t>
      </w:r>
      <w:r>
        <w:rPr>
          <w:highlight w:val="yellow"/>
        </w:rPr>
        <w:t xml:space="preserve">Los resultados sitúan la digitalización del mercado publicitario español entre 2014 y 2019, año en el que el medio digital supera a la televisión. El sector de automoción recorre esa trayectoria con retraso y la interrumpe en 2020: pierde el liderazgo del ranking en 2021 y su cuota digital crece por contracción de la inversión convencional, no por impulso digital. </w:t>
      </w:r>
    </w:p>
    <w:p>
      <w:pPr>
        <w:jc w:val="both"/>
      </w:pPr>
      <w:r>
        <w:rPr>
          <w:b/>
        </w:rPr>
        <w:t xml:space="preserve">REEMPLAZO PROPUESTO — </w:t>
      </w:r>
      <w:r>
        <w:t>El presente trabajo analiza la evolución de la inversión publicitaria del sector de automoción en España (2007–2025) dentro de la transformación del ecosistema mediático, atendiendo al reparto de la inversión por medios y a la composición interna del medio digital. Se sigue un diseño descriptivo, longitudinal y documental, basado en el análisis cuantitativo de datos secundarios y en su interpretación cualitativa, a partir de fuentes sectoriales —InfoAdex, IAB Spain y PwC España y el Observatorio de la Publicidad en España—, organizadas en una matriz común por medio, canal y subperiodo, con criterios explícitos frente a rupturas de universo y de clasificación entre fuentes. Los resultados sitúan la digitalización del mercado publicitario español entre 2014 y 2019, cuando el medio digital supera a la televisión, hasta alcanzar el 47,6 % de la inversión controlada en 2023. El sector de automoción recorre esa trayectoria con retraso y la interrumpe en 2020: tras su máximo de 569,3 millones de euros en 2018, pierde el liderazgo del ranking en 2021 y en 2022 queda un 46 % por debajo de ese máximo. Su cuota digital pasa del 6,9 % en 2016 al 36,7 % en 2021, pero por contracción de la inversión convencional y no por impulso digital. Ninguna de las cuatro hipótesis queda confirmada sin matices.</w:t>
      </w:r>
    </w:p>
    <w:p>
      <w:pPr>
        <w:pStyle w:val="Heading2"/>
      </w:pPr>
      <w:r>
        <w:t>[02] ABSTRACT — v2 pág. 5 — LIMPIA</w:t>
      </w:r>
    </w:p>
    <w:p>
      <w:r>
        <w:rPr>
          <w:i/>
        </w:rPr>
        <w:t>IA en v2: 27 %  →  v11 (38 % IA): 0 %  ·  similitud léxica 0.51  ·  origen: TFG_Bejarano_v11_tipografia-coherencia.docx (pág. 5)</w:t>
      </w:r>
    </w:p>
    <w:p>
      <w:r>
        <w:t>Otras fuentes válidas: v12 copia (53 % IA) 0 %, v12 final (48 % IA) 0 %</w:t>
      </w:r>
    </w:p>
    <w:p>
      <w:pPr>
        <w:jc w:val="both"/>
      </w:pPr>
      <w:r>
        <w:rPr>
          <w:b/>
        </w:rPr>
        <w:t xml:space="preserve">TEXTO ACTUAL EN v2 — </w:t>
      </w:r>
      <w:r>
        <w:rPr>
          <w:highlight w:val="yellow"/>
        </w:rPr>
        <w:t xml:space="preserve">This study analyses the evolution of advertising investment in the Spanish automotive sector (2007–2025) within the transformation of the media ecosystem, focusing on the distribution of advertising investment across media and on the internal composition of digital advertising. </w:t>
      </w:r>
      <w:r>
        <w:t xml:space="preserve"> A qualitative, descriptive and documentary methodology is applied to sectoral sources — InfoAdex, IAB Spain and PwC España, and the Observatorio de la Publicidad en España—, organised into a common matrix by medium, channel and subperiod, with explicit criteria for differences in measurement universes and classification across sources. The results show that the digitalisation of the Spanish advertising market took place between 2014 and 2019, when digital advertising overtook television. The automotive sector followed this trend with a delay and experienced a disruption in 2020: it lost its leading position in 2021, while its digital share increased as a result of the contraction in conventional investment rather than an increase in digital investment.</w:t>
      </w:r>
    </w:p>
    <w:p>
      <w:pPr>
        <w:jc w:val="both"/>
      </w:pPr>
      <w:r>
        <w:rPr>
          <w:b/>
        </w:rPr>
        <w:t xml:space="preserve">REEMPLAZO PROPUESTO — </w:t>
      </w:r>
      <w:r>
        <w:t>This paper analyses the evolution of advertising investment in the automotive sector in Spain (2007–2025) within the transformation of the media ecosystem, focusing on the distribution of investment across media and the internal composition of digital media. A descriptive, longitudinal and documentary design is followed, based on the quantitative analysis of secondary data and its qualitative interpretation, using industry sources —InfoAdex, IAB Spain and PwC Spain, and the Advertising Observatory in Spain— organised in a common matrix by medium, channel and subperiod, with explicit criteria for dealing with breaks in scope and classification between sources. The results place the digitalisation of the Spanish advertising market between 2014 and 2019, when digital media overtook television, reaching 47.6% of monitored investment in 2023. The automotive sector followed this trajectory with a delay and interrupted it in 2020: after reaching its peak of €569.3 million in 2018, it lost its leading position in the ranking in 2021 and, in 2022, stood 46% below that peak. Its digital share increased from 6.9% in 2016 to 36.7% in 2021, but due to a contraction in conventional media investment rather than digital growth. None of the four hypotheses is confirmed without qualifications.</w:t>
      </w:r>
    </w:p>
    <w:p>
      <w:pPr>
        <w:pStyle w:val="Heading2"/>
      </w:pPr>
      <w:r>
        <w:t>[03] 1. INTRODUCCIÓN — v2 pág. 9 — LIMPIA</w:t>
      </w:r>
    </w:p>
    <w:p>
      <w:r>
        <w:rPr>
          <w:i/>
        </w:rPr>
        <w:t>IA en v2: 56 %  →  v11 (38 % IA): 0 %  ·  similitud léxica 0.77  ·  origen: TFG_Bejarano_v11_tipografia-coherencia.docx (pág. 10)</w:t>
      </w:r>
    </w:p>
    <w:p>
      <w:pPr>
        <w:jc w:val="both"/>
      </w:pPr>
      <w:r>
        <w:rPr>
          <w:b/>
        </w:rPr>
        <w:t xml:space="preserve">TEXTO ACTUAL EN v2 — </w:t>
      </w:r>
      <w:r>
        <w:t xml:space="preserve">En España, esto se apoya en dos tipos de evidencia. De un lado, las series de consumo y audiencias, que miden el movimiento de audiencias de soportes analógicos a soportes digitales desde finales del siglo XX hasta la actualidad (AIMC, 2025). </w:t>
      </w:r>
      <w:r>
        <w:rPr>
          <w:highlight w:val="yellow"/>
        </w:rPr>
        <w:t xml:space="preserve">De otro lado, los indicadores institucionales de adopción tecnológica: el cambio no se limita al terreno mediático, sino que acompaña a una transformación de mayor alcance en el acceso y el uso de las tecnologías de la información en los hogares españoles (Instituto Nacional de Estadística [INE], 2024). </w:t>
      </w:r>
    </w:p>
    <w:p>
      <w:pPr>
        <w:jc w:val="both"/>
      </w:pPr>
      <w:r>
        <w:rPr>
          <w:b/>
        </w:rPr>
        <w:t xml:space="preserve">REEMPLAZO PROPUESTO — </w:t>
      </w:r>
      <w:r>
        <w:t>En España, esto se apoya en dos tipos de evidencia. De un lado, las series de consumo y audiencias, que miden el movimiento de audiencias de soportes analógicos a soportes digitales desde finales del siglo XX hasta la actualidad (AIMC, 2025). De otro lado, los indicadores institucionales de adopción tecnológica muestran que el cambio no se limita al sector de medios, sino que forma parte de una transformación más amplia en la manera en que los hogares españoles usan las tecnologías de la información y la comunicación (Instituto Nacional de Estadística [INE], 2024).</w:t>
      </w:r>
    </w:p>
    <w:p>
      <w:pPr>
        <w:pStyle w:val="Heading2"/>
      </w:pPr>
      <w:r>
        <w:t>[04] 1. INTRODUCCIÓN — v2 pág. 9 — LIMPIA</w:t>
      </w:r>
    </w:p>
    <w:p>
      <w:r>
        <w:rPr>
          <w:i/>
        </w:rPr>
        <w:t>IA en v2: 100 %  →  v11 (38 % IA): 0 %  ·  similitud léxica 0.87  ·  origen: TFG_Bejarano_v11_tipografia-coherencia.docx (pág. 10)</w:t>
      </w:r>
    </w:p>
    <w:p>
      <w:pPr>
        <w:jc w:val="both"/>
      </w:pPr>
      <w:r>
        <w:rPr>
          <w:b/>
        </w:rPr>
        <w:t xml:space="preserve">TEXTO ACTUAL EN v2 — </w:t>
      </w:r>
      <w:r>
        <w:rPr>
          <w:highlight w:val="yellow"/>
        </w:rPr>
        <w:t xml:space="preserve">Los datos de inversión publicitaria en España van en la misma dirección: los recursos se redistribuyen progresivamente hacia contextos digitales, mientras los medios convencionales conservan peso en el sistema (InfoAdex, 2025, 2026). </w:t>
      </w:r>
    </w:p>
    <w:p>
      <w:pPr>
        <w:jc w:val="both"/>
      </w:pPr>
      <w:r>
        <w:rPr>
          <w:b/>
        </w:rPr>
        <w:t xml:space="preserve">REEMPLAZO PROPUESTO — </w:t>
      </w:r>
      <w:r>
        <w:t>Los datos de inversión publicitaria en España van en la misma dirección: los recursos se redistribuyen cada vez más hacia contextos digitales, mientras los medios convencionales conservan peso en el sistema (InfoAdex, 2025, 2026).</w:t>
      </w:r>
    </w:p>
    <w:p>
      <w:pPr>
        <w:pStyle w:val="Heading2"/>
      </w:pPr>
      <w:r>
        <w:t>[05] 1. INTRODUCCIÓN — v2 pág. 9 — LIMPIA</w:t>
      </w:r>
    </w:p>
    <w:p>
      <w:r>
        <w:rPr>
          <w:i/>
        </w:rPr>
        <w:t>IA en v2: 100 %  →  v11 (38 % IA): 0 %  ·  similitud léxica 0.36  ·  origen: TFG_Bejarano_v11_tipografia-coherencia.docx (pág. 10)</w:t>
      </w:r>
    </w:p>
    <w:p>
      <w:r>
        <w:t>Otras fuentes válidas: v12 final (48 % IA) 0 %</w:t>
      </w:r>
    </w:p>
    <w:p>
      <w:pPr>
        <w:jc w:val="both"/>
      </w:pPr>
      <w:r>
        <w:rPr>
          <w:b/>
        </w:rPr>
        <w:t xml:space="preserve">TEXTO ACTUAL EN v2 — </w:t>
      </w:r>
      <w:r>
        <w:rPr>
          <w:highlight w:val="yellow"/>
        </w:rPr>
        <w:t xml:space="preserve">El «ecosistema digital», sin embargo, no es homogéneo: integra canales diferentes —search, display y redes sociales— que funcionan con lógicas propias de segmentación, automatización y medición (IAB Spain, 2025; IAB Spain &amp; PwC España, 2025). Esta diferencia interna condiciona la planificación y ejecución de la comunicación comercial. </w:t>
      </w:r>
    </w:p>
    <w:p>
      <w:pPr>
        <w:jc w:val="both"/>
      </w:pPr>
      <w:r>
        <w:rPr>
          <w:b/>
        </w:rPr>
        <w:t xml:space="preserve">REEMPLAZO PROPUESTO — </w:t>
      </w:r>
      <w:r>
        <w:t>El «ecosistema digital» consta en realidad de múltiples canales: search, display y redes sociales. Cada canal posee una lógica propia de segmentación, automatización y medición (IAB Spain, 2025; IAB Spain &amp; PwC España, 2025). Por lo tanto, la planificación y la ejecución de una estrategia dada difieren entre los diversos canales.</w:t>
      </w:r>
    </w:p>
    <w:p>
      <w:pPr>
        <w:pStyle w:val="Heading2"/>
      </w:pPr>
      <w:r>
        <w:t>[06] 1. INTRODUCCIÓN — v2 pág. 9 — LIMPIA</w:t>
      </w:r>
    </w:p>
    <w:p>
      <w:r>
        <w:rPr>
          <w:i/>
        </w:rPr>
        <w:t>IA en v2: 100 %  →  v11 (38 % IA): 0 %  ·  similitud léxica 0.39  ·  origen: TFG_Bejarano_v11_tipografia-coherencia.docx (pág. 10)</w:t>
      </w:r>
    </w:p>
    <w:p>
      <w:pPr>
        <w:jc w:val="both"/>
      </w:pPr>
      <w:r>
        <w:rPr>
          <w:b/>
        </w:rPr>
        <w:t xml:space="preserve">TEXTO ACTUAL EN v2 — </w:t>
      </w:r>
      <w:r>
        <w:rPr>
          <w:highlight w:val="yellow"/>
        </w:rPr>
        <w:t xml:space="preserve">El presente trabajo estudia la evolución de la inversión publicitaria del sector de la automoción en España en el marco de la transformación del ecosistema mediático. La automoción es uno de los sectores que más invierte en publicidad digital en el mercado español (IAB Spain, 2025), pero este dato describe el resultado y no el proceso. El trabajo analiza el cómo se trasladó dicha inversión desde los medios convencionales al medio digital entre los años 2007 y 2025. La literatura muestra que el proceso se aceleró entre 2007 y 2018, afectando tanto los volúmenes de inversión como las estrategias comunicativas (Bonales-Daimiel, 2020; Bonales- Daimiel &amp; Mañas-Viniegra, 2021), aunque no se extiende la observación más allá de ese tramo. A ello se añade que las webs de los fabricantes se convirtieron en el principal punto de contacto con el cliente. Mayoral Palanca (2024) señala que la decisión de compra de un cliente depende de su experiencia con un producto o servicio, por lo que el análisis no puede detenerse en cómo se reparte el gasto por medios: es necesario comprender la lógica comunicativa que sostiene esa migración. </w:t>
      </w:r>
    </w:p>
    <w:p>
      <w:pPr>
        <w:jc w:val="both"/>
      </w:pPr>
      <w:r>
        <w:rPr>
          <w:b/>
        </w:rPr>
        <w:t xml:space="preserve">REEMPLAZO PROPUESTO — </w:t>
      </w:r>
      <w:r>
        <w:t>El enfoque de este estudio es la adaptación del gasto publicitario del sector de automoción en España, uno de los mayores segmentos de la publicidad digital del mercado español (IAB Spain, 2025). Aunque se atribuye gran importancia a este segmento, este trabajo describe el proceso que llevó a la transición de los medios convencionales al medio digital durante el periodo 2007–2025. La literatura describe este cambio y su importancia entre 2007 y 2018 en términos de inversión y de cambios en la comunicación estratégica (Bonales-Daimiel, 2020; Bonales-Daimiel &amp; Mañas-Viniegra, 2021), aunque no extiende la observación más allá de ese tramo.</w:t>
      </w:r>
    </w:p>
    <w:p>
      <w:pPr>
        <w:pStyle w:val="Heading2"/>
      </w:pPr>
      <w:r>
        <w:t>[07] 1. INTRODUCCIÓN — v2 pág. 10 — LIMPIA</w:t>
      </w:r>
    </w:p>
    <w:p>
      <w:r>
        <w:rPr>
          <w:i/>
        </w:rPr>
        <w:t>IA en v2: 100 %  →  v12 bloques (46 % IA): 0 %  ·  similitud léxica 0.42  ·  origen: TFG_Bejarano_v12_reescrito_bloques_pri….docx (pág. 10)</w:t>
      </w:r>
    </w:p>
    <w:p>
      <w:pPr>
        <w:jc w:val="both"/>
      </w:pPr>
      <w:r>
        <w:rPr>
          <w:b/>
        </w:rPr>
        <w:t xml:space="preserve">TEXTO ACTUAL EN v2 — </w:t>
      </w:r>
      <w:r>
        <w:rPr>
          <w:highlight w:val="yellow"/>
        </w:rPr>
        <w:t xml:space="preserve">El intervalo 2007–2025 no se refiere a un criterio cronológico sino a la disponibilidad de evidencia. Las fuentes sectoriales españolas desde 2007 ofrecen series continuas de inversión publicitaria —verificadas hasta 2023 en el reparto del mercado por medios, tal y como se detalla en el apartado 9—, y ese mismo año arranca el antecedente académico más directo sobre el sector (Bonales-Daimiel, 2020; Bonales-Daimiel &amp; Mañas-Viniegra, 2021). Antes de 2007 no existe una cobertura estadística equivalente para hacer afirmaciones longitudinales. </w:t>
      </w:r>
    </w:p>
    <w:p>
      <w:pPr>
        <w:jc w:val="both"/>
      </w:pPr>
      <w:r>
        <w:rPr>
          <w:b/>
        </w:rPr>
        <w:t xml:space="preserve">REEMPLAZO PROPUESTO — </w:t>
      </w:r>
      <w:r>
        <w:t>El periodo 2007–2025 se fija por la disponibilidad de evidencia comparable. Desde 2007 existen series que permiten seguir el reparto del mercado por medios —verificadas hasta 2023 en este trabajo— y en ese entorno temporal comienza también el antecedente académico más próximo sobre automoción (Bonales-Daimiel, 2020; Bonales-Daimiel &amp; Mañas-Viniegra, 2021). Para los años anteriores no se ha encontrado una cobertura estadística equivalente que permita mantener el mismo análisis longitudinal.</w:t>
      </w:r>
    </w:p>
    <w:p>
      <w:pPr>
        <w:pStyle w:val="Heading2"/>
      </w:pPr>
      <w:r>
        <w:t>[08] COMERCIAL EN EL SECTOR DE AUTOMOCIÓN — v2 pág. 16 — LIMPIA</w:t>
      </w:r>
    </w:p>
    <w:p>
      <w:r>
        <w:rPr>
          <w:i/>
        </w:rPr>
        <w:t>IA en v2: 87 %  →  v12 final (48 % IA): 0 %  ·  similitud léxica 0.32  ·  origen: source-TFG_Bejarano_v12_revision_localizada_academica_FINAL_1.docx (pág. 15)</w:t>
      </w:r>
    </w:p>
    <w:p>
      <w:pPr>
        <w:jc w:val="both"/>
      </w:pPr>
      <w:r>
        <w:rPr>
          <w:b/>
        </w:rPr>
        <w:t xml:space="preserve">TEXTO ACTUAL EN v2 — </w:t>
      </w:r>
      <w:r>
        <w:t xml:space="preserve">La línea más atendida por la literatura es la adaptación publicitaria del sector al entorno digital. </w:t>
      </w:r>
      <w:r>
        <w:rPr>
          <w:highlight w:val="yellow"/>
        </w:rPr>
        <w:t xml:space="preserve">El antecedente más directo es Bonales-Daimiel y Mañas-Viniegra (2021), quienes insertan el automóvil en el proceso de transformación publicitaria que ocurre entre 2007 y 2018 y demuestran que la adaptación a internet no es una cuestión marginal para el sector, sino una dimensión observable de su evolución comunicativa. Su aporte argumenta, con evidencia empírica desde España, que la industria de la automoción se inserta en el camino hacia las lógicas digitales. Su límite es el reverso de esa fuerza: no ofrece una línea de base longitudinal para el conjunto del periodo 2007–2025, ni remite esa adaptación a los cambios de formato, contenidos y lógicas comunicativas que interesan a este trabajo. </w:t>
      </w:r>
    </w:p>
    <w:p>
      <w:pPr>
        <w:jc w:val="both"/>
      </w:pPr>
      <w:r>
        <w:rPr>
          <w:b/>
        </w:rPr>
        <w:t xml:space="preserve">REEMPLAZO PROPUESTO — </w:t>
      </w:r>
      <w:r>
        <w:t>El antecedente más próximo a este trabajo es el de Bonales-Daimiel y Mañas-Viniegra (2021), que estudia la transformación publicitaria del automóvil entre 2007 y 2018. Para esta investigación resulta especialmente útil porque documenta con datos españoles que la adaptación a internet ya formaba parte de la evolución del sector. Su límite aparece en la propia fecha de cierre. El estudio termina en 2018 y, por ello, no permite comprobar qué ocurrió después ni seguir de forma continua todo el periodo 2007–2025.</w:t>
      </w:r>
    </w:p>
    <w:p>
      <w:pPr>
        <w:pStyle w:val="Heading2"/>
      </w:pPr>
      <w:r>
        <w:t>[09] COMERCIAL EN EL SECTOR DE AUTOMOCIÓN — v2 pág. 16 — LIMPIA</w:t>
      </w:r>
    </w:p>
    <w:p>
      <w:r>
        <w:rPr>
          <w:i/>
        </w:rPr>
        <w:t>IA en v2: 100 %  →  v12 bloques (46 % IA): 0 %  ·  similitud léxica 0.42  ·  origen: TFG_Bejarano_v12_reescrito_bloques_pri….docx (pág. 15)</w:t>
      </w:r>
    </w:p>
    <w:p>
      <w:pPr>
        <w:jc w:val="both"/>
      </w:pPr>
      <w:r>
        <w:rPr>
          <w:b/>
        </w:rPr>
        <w:t xml:space="preserve">TEXTO ACTUAL EN v2 — </w:t>
      </w:r>
      <w:r>
        <w:rPr>
          <w:highlight w:val="yellow"/>
        </w:rPr>
        <w:t xml:space="preserve">La segunda línea se refiere a los valores y contenidos que se muestran en la publicidad del automóvil. Bonales-Daimiel y Mañas-Viniegra (2022) trasladan la discusión desde la mera presencia de publicidad hacia lo que esta dice: identifican repertorios valorativos propios del ramo (diseño, precio, ecología, prestaciones o financiación) y detectan un desajuste entre los valores que expresa la publicidad y los que resultan relevantes para consumidores y expertos. De este modo confirman una dimensión ya señalada en el marco teórico, la publicidad de automoción como construcción de sentido, y dejan al descubierto la misma restricción: no leen cómo evolucionan esos repertorios en el tiempo, ni en conexión con el cambio de medios y de formatos, ni para el conjunto del periodo 2007–2025. </w:t>
      </w:r>
    </w:p>
    <w:p>
      <w:pPr>
        <w:jc w:val="both"/>
      </w:pPr>
      <w:r>
        <w:rPr>
          <w:b/>
        </w:rPr>
        <w:t xml:space="preserve">REEMPLAZO PROPUESTO — </w:t>
      </w:r>
      <w:r>
        <w:t>Una segunda línea se centra en los valores que aparecen en la publicidad del automóvil. Bonales-Daimiel y Mañas-Viniegra (2022) identifican repertorios vinculados al diseño, el precio, la ecología, las prestaciones o la financiación y comparan esos valores con los considerados relevantes por consumidores y expertos. El estudio confirma que la publicidad de automoción puede analizarse como construcción de sentido, pero no sigue la evolución de esos repertorios durante todo el periodo 2007–2025 ni los relaciona de forma longitudinal con el cambio del mix de medios.</w:t>
      </w:r>
    </w:p>
    <w:p>
      <w:pPr>
        <w:pStyle w:val="Heading2"/>
      </w:pPr>
      <w:r>
        <w:t>[10] 6.3.TRATAMIENTO DE LAS FUENTES: UNIVERSOS, RUPTURAS Y COBERTURA — v2 pág. 22 — MEJORA PARCIAL</w:t>
      </w:r>
    </w:p>
    <w:p>
      <w:r>
        <w:rPr>
          <w:i/>
        </w:rPr>
        <w:t>IA en v2: 100 %  →  v12 bloques (46 % IA): 20 %  ·  similitud léxica 0.46  ·  origen: TFG_Bejarano_v12_reescrito_bloques_pri….docx (pág. 21)</w:t>
      </w:r>
    </w:p>
    <w:p>
      <w:pPr>
        <w:jc w:val="both"/>
      </w:pPr>
      <w:r>
        <w:rPr>
          <w:b/>
        </w:rPr>
        <w:t xml:space="preserve">TEXTO ACTUAL EN v2 — </w:t>
      </w:r>
      <w:r>
        <w:rPr>
          <w:highlight w:val="yellow"/>
        </w:rPr>
        <w:t xml:space="preserve">De ello se desprenden cuatro criterios que rigen la presentación de todos los resultados. Primero, las series de InfoAdex y de IAB Spain siempre se muestran por separado, sin que nunca se encadenen entre ellas. En segundo lugar, las comparaciones entre extremos de una serie solo se establecen dentro de un mismo universo y de una misma clasificación. En tercer lugar, se distingue entre hueco de cobertura —años sin dato bajo una definición que no ha variado, que no impide comparar los extremos— y ruptura de clasificación —cambio en lo que mide la cifra, que sí lo impide—: los huecos permanecen visibles en las figuras y no se interpolan; las rupturas dividen la serie en tramos independientes. En cuarto lugar, se indica en cada caso la edición de la que procede el dato, porque IAB Spain revisa sus cifras entre ediciones: el total digital de 2021 aparece como 4.069,4 millones de euros en la edición de ese año y como 4.121,4 en la siguiente, tras incorporar la partida de influencers (IAB Spain &amp; PwC España, 2022, 2023). </w:t>
      </w:r>
    </w:p>
    <w:p>
      <w:pPr>
        <w:jc w:val="both"/>
      </w:pPr>
      <w:r>
        <w:rPr>
          <w:b/>
        </w:rPr>
        <w:t xml:space="preserve">REEMPLAZO PROPUESTO — </w:t>
      </w:r>
      <w:r>
        <w:rPr>
          <w:highlight w:val="yellow"/>
        </w:rPr>
        <w:t>De estas diferencias salen cuatro reglas de lectura. Primero, las series de InfoAdex y de IAB Spain se presentan por separado y no se encadenan.</w:t>
      </w:r>
      <w:r>
        <w:t xml:space="preserve"> Segundo, una comparación entre extremos solo se realiza cuando el universo y la clasificación son los mismos. Tercero, los años sin dato se mantienen como huecos, mientras que un cambio de clasificación divide la serie en tramos independientes. Cuarto, se identifica la edición de procedencia de cada cifra cuando la fuente revisa resultados anteriores. IAB Spain, por ejemplo, publica para 2021 un total digital de 4.069,4 millones de euros y lo revisa a 4.121,4 millones en la edición siguiente tras incorporar la partida de influencers (IAB Spain &amp; PwC España, 2022, 2023).</w:t>
      </w:r>
    </w:p>
    <w:p>
      <w:pPr>
        <w:pStyle w:val="Heading2"/>
      </w:pPr>
      <w:r>
        <w:t>[11] 7.4.EL REPARTO DE LA INVERSIÓN DEL SECTOR POR MEDIOS Y EL PESO DEL MED — v2 pág. 32 — LIMPIA</w:t>
      </w:r>
    </w:p>
    <w:p>
      <w:r>
        <w:rPr>
          <w:i/>
        </w:rPr>
        <w:t>IA en v2: 19 %  →  v12 final (48 % IA): 0 %  ·  similitud léxica 0.68  ·  origen: source-TFG_Bejarano_v12_revision_localizada_academica_FINAL_1.docx (pág. 31)</w:t>
      </w:r>
    </w:p>
    <w:p>
      <w:pPr>
        <w:jc w:val="both"/>
      </w:pPr>
      <w:r>
        <w:rPr>
          <w:b/>
        </w:rPr>
        <w:t xml:space="preserve">TEXTO ACTUAL EN v2 — </w:t>
      </w:r>
      <w:r>
        <w:t xml:space="preserve">El único ejercicio en el que hay un desglose por los ocho medios es el de 2016, y su estructura está muy concentrada. La televisión se lleva 261,4 millones de euros, que suponen el 55,6 % de toda la inversión publicitaria del sector y el 59,8 % de su inversión en medios convencionales. A continuación le siguen la radio, con 47,2 millones; el exterior, con 46,3; los diarios, con 42,9; las revistas, con 33,3; el medio digital, con 32,3; el cine, con 5,4, y los dominicales, con 0,9. </w:t>
      </w:r>
      <w:r>
        <w:rPr>
          <w:highlight w:val="yellow"/>
        </w:rPr>
        <w:t xml:space="preserve">La televisión, por sí sola, recibe más que los otros seis medios convencionales juntos, que suman 176,0 millones. </w:t>
      </w:r>
    </w:p>
    <w:p>
      <w:pPr>
        <w:jc w:val="both"/>
      </w:pPr>
      <w:r>
        <w:rPr>
          <w:b/>
        </w:rPr>
        <w:t xml:space="preserve">REEMPLAZO PROPUESTO — </w:t>
      </w:r>
      <w:r>
        <w:t>En 2016 sí puede verse el reparto por los ocho medios. La televisión recibe 261,4 millones de euros, el 55,6 % de toda la inversión publicitaria del sector y el 59,8 % de su inversión convencional. Después aparecen la radio (47,2 millones), exterior (46,3), diarios (42,9), revistas (33,3), digital (32,3), cine (5,4) y dominicales (0,9). La concentración es muy alta: la televisión recibe por sí sola más inversión que los otros seis medios convencionales juntos, que suman 176,0 millones.</w:t>
      </w:r>
    </w:p>
    <w:p>
      <w:pPr>
        <w:pStyle w:val="Heading2"/>
      </w:pPr>
      <w:r>
        <w:t>[12] 7.4.EL REPARTO DE LA INVERSIÓN DEL SECTOR POR MEDIOS Y EL PESO DEL MED — v2 pág. 34 — LIMPIA</w:t>
      </w:r>
    </w:p>
    <w:p>
      <w:r>
        <w:rPr>
          <w:i/>
        </w:rPr>
        <w:t>IA en v2: 52 %  →  v12 final (48 % IA): 7 %  ·  similitud léxica 0.70  ·  origen: source-TFG_Bejarano_v12_revision_localizada_academica_FINAL_1.docx (pág. 33)</w:t>
      </w:r>
    </w:p>
    <w:p>
      <w:pPr>
        <w:jc w:val="both"/>
      </w:pPr>
      <w:r>
        <w:rPr>
          <w:b/>
        </w:rPr>
        <w:t xml:space="preserve">TEXTO ACTUAL EN v2 — </w:t>
      </w:r>
      <w:r>
        <w:t xml:space="preserve">Entre 2019 y 2021 ocurre lo contrario: la cuota sigue subiendo, del 28,8 % al 36,7 %, mientras la inversión digital cae un 25 % en términos absolutos, de 162,7 a 122,0 millones. </w:t>
      </w:r>
      <w:r>
        <w:rPr>
          <w:highlight w:val="yellow"/>
        </w:rPr>
        <w:t xml:space="preserve">La cuota sube porque la inversión convencional se contrae un 47,6 % en el mismo periodo, casi el doble. No se trata de una reasignación, sino de una desigualdad en el ritmo del retroceso. </w:t>
      </w:r>
    </w:p>
    <w:p>
      <w:pPr>
        <w:jc w:val="both"/>
      </w:pPr>
      <w:r>
        <w:rPr>
          <w:b/>
        </w:rPr>
        <w:t xml:space="preserve">REEMPLAZO PROPUESTO — </w:t>
      </w:r>
      <w:r>
        <w:t xml:space="preserve">De 2016 a 2019, el incremento de la cuota tiene su explicación en un crecimiento real: el gasto digital del sector pasa de 32,3 a 162,7 millones de euros, un 403,7 % más, mientras que su inversión convencional se reduce un 8,2 %. </w:t>
      </w:r>
      <w:r>
        <w:rPr>
          <w:highlight w:val="yellow"/>
        </w:rPr>
        <w:t xml:space="preserve">Es un desplazamiento efectivo de recursos. </w:t>
      </w:r>
      <w:r>
        <w:t xml:space="preserve"> Entre 2019 y 2021 ocurre lo contrario: la cuota sigue subiendo, del 28,8 % al 36,7 %, mientras la inversión digital cae un 25 % en términos absolutos, de 162,7 a 122,0 millones. La cuota sube porque la inversión convencional se contrae un 47,6 % en el mismo periodo, casi el doble. No se trata de una reasignación, sino de una desigualdad en el ritmo del retroceso.</w:t>
      </w:r>
    </w:p>
    <w:p>
      <w:pPr>
        <w:pStyle w:val="Heading2"/>
      </w:pPr>
      <w:r>
        <w:t>[13] 7.5.EL MIX DE CANALES DEL MEDIO DIGITAL Y LA POSICIÓN DEL SECTOR — v2 pág. 34 — LIMPIA</w:t>
      </w:r>
    </w:p>
    <w:p>
      <w:r>
        <w:rPr>
          <w:i/>
        </w:rPr>
        <w:t>IA en v2: 56 %  →  v12 final (48 % IA): 0 %  ·  similitud léxica 0.49  ·  origen: source-TFG_Bejarano_v12_revision_localizada_academica_FINAL_1.docx (pág. 34)</w:t>
      </w:r>
    </w:p>
    <w:p>
      <w:pPr>
        <w:jc w:val="both"/>
      </w:pPr>
      <w:r>
        <w:rPr>
          <w:b/>
        </w:rPr>
        <w:t xml:space="preserve">TEXTO ACTUAL EN v2 — </w:t>
      </w:r>
      <w:r>
        <w:rPr>
          <w:highlight w:val="yellow"/>
        </w:rPr>
        <w:t>En este epígrafe se estudia el mix de canales del medio digital en dos niveles: la distribución interna del medio para el conjunto del mercado español, sobre la que se contrastan la tercera y la cuarta hipótesis, y la posición que ocupa la automoción dentro de ese mercado. E</w:t>
      </w:r>
      <w:r>
        <w:t>l análisis es de mercado y no sectorial, ya que ninguna de las fuentes consultadas publica el reparto por canales de un sector específico. La Figura 5 recoge la proporción de search sobre el total del medio digital.</w:t>
      </w:r>
    </w:p>
    <w:p>
      <w:pPr>
        <w:jc w:val="both"/>
      </w:pPr>
      <w:r>
        <w:rPr>
          <w:b/>
        </w:rPr>
        <w:t xml:space="preserve">REEMPLAZO PROPUESTO — </w:t>
      </w:r>
      <w:r>
        <w:t>El análisis del mix digital se hace en dos planos. Primero se observa cómo se reparte el medio digital en el conjunto del mercado español, que es donde pueden contrastarse H3 y H4. Después se sitúa la automoción dentro de ese mercado. No es posible bajar al reparto sectorial por canales porque ninguna de las fuentes consultadas lo publica. La Figura 5 muestra la proporción de search sobre el total digital.</w:t>
      </w:r>
    </w:p>
    <w:p>
      <w:pPr>
        <w:pStyle w:val="Heading2"/>
      </w:pPr>
      <w:r>
        <w:t>[14] 7.6.SÍNTESIS DEL CONTRASTE DE HIPÓTESIS — v2 pág. 37 — MEJORA PARCIAL</w:t>
      </w:r>
    </w:p>
    <w:p>
      <w:r>
        <w:rPr>
          <w:i/>
        </w:rPr>
        <w:t>IA en v2: 100 %  →  v12 final (48 % IA): 16 %  ·  similitud léxica 0.41  ·  origen: source-TFG_Bejarano_v12_revision_localizada_academica_FINAL_1.docx (pág. 37)</w:t>
      </w:r>
    </w:p>
    <w:p>
      <w:pPr>
        <w:jc w:val="both"/>
      </w:pPr>
      <w:r>
        <w:rPr>
          <w:b/>
        </w:rPr>
        <w:t xml:space="preserve">TEXTO ACTUAL EN v2 — </w:t>
      </w:r>
      <w:r>
        <w:rPr>
          <w:highlight w:val="yellow"/>
        </w:rPr>
        <w:t xml:space="preserve">H1 acierta con el resultado pero falla en el proceso. A sus dos extremos se comprueba que la reconfiguración del mix publicitario no ha sido homogénea y que el medio digital ocupa la primera plaza del reparto desde 2019, con el 47,6 % del total en 2023. La cronología no cuadra: la hipótesis ubicaba el pico de intensidad en 2020–2025 y los datos lo ubican en 2014–2019, con 3,51 puntos de avance anual frente a 1,02 en el último subperiodo. El error no está en el sentido del fenómeno, sino en la presunción de que la marcha se aceleraría después del relevo, cuando alcanzó su máximo con él. </w:t>
      </w:r>
    </w:p>
    <w:p>
      <w:pPr>
        <w:jc w:val="both"/>
      </w:pPr>
      <w:r>
        <w:rPr>
          <w:b/>
        </w:rPr>
        <w:t xml:space="preserve">REEMPLAZO PROPUESTO — </w:t>
      </w:r>
      <w:r>
        <w:t>H1 acierta en el desenlace, pero no en cuándo se produce la mayor aceleración. El medio digital ocupa la primera posición desde 2019 y alcanza el 47,6 % del total en 2023, de modo que el sentido general de la hipótesis sí aparece en los datos. La cronología es otra. Entre 2014 y 2019 la cuota avanza 3,51 puntos por año, frente a 1,02 entre 2020 y 2023, único tramo con dato dentro del periodo 2020–2025 previsto en la hipótesis. L</w:t>
      </w:r>
      <w:r>
        <w:rPr>
          <w:highlight w:val="yellow"/>
        </w:rPr>
        <w:t xml:space="preserve">a reconfiguración, por tanto, se intensifica antes del relevo y no después de él. </w:t>
      </w:r>
    </w:p>
    <w:p>
      <w:pPr>
        <w:pStyle w:val="Heading2"/>
      </w:pPr>
      <w:r>
        <w:t>[15] 7.6.SÍNTESIS DEL CONTRASTE DE HIPÓTESIS — v2 pág. 38 — LIMPIA</w:t>
      </w:r>
    </w:p>
    <w:p>
      <w:r>
        <w:rPr>
          <w:i/>
        </w:rPr>
        <w:t>IA en v2: 11 %  →  v11 (38 % IA): 0 %  ·  similitud léxica 0.63  ·  origen: TFG_Bejarano_v11_tipografia-coherencia.docx (pág. 40)</w:t>
      </w:r>
    </w:p>
    <w:p>
      <w:pPr>
        <w:jc w:val="both"/>
      </w:pPr>
      <w:r>
        <w:rPr>
          <w:b/>
        </w:rPr>
        <w:t xml:space="preserve">TEXTO ACTUAL EN v2 — </w:t>
      </w:r>
      <w:r>
        <w:rPr>
          <w:highlight w:val="yellow"/>
        </w:rPr>
        <w:t>De ahí una consecuencia para el objeto de estudio. E</w:t>
      </w:r>
      <w:r>
        <w:t>n el plano sectorial los objetivos se alcanzan de forma desigual: el volumen de inversión y su peso relativo están establecidos desde 2014, el reparto por medios solo admite observación en ejercicios aislados y el reparto por canales no admite ninguna. Esa asimetría entre lo que puede decirse del mercado y lo que puede decirse del sector es, en sí misma, uno de los resultados del trabajo, y se retoma en las conclusiones.</w:t>
      </w:r>
    </w:p>
    <w:p>
      <w:pPr>
        <w:jc w:val="both"/>
      </w:pPr>
      <w:r>
        <w:rPr>
          <w:b/>
        </w:rPr>
        <w:t xml:space="preserve">REEMPLAZO PROPUESTO — </w:t>
      </w:r>
      <w:r>
        <w:t>Los cuatro veredictos no coinciden en el resultado. Coinciden en otra cosa. En ninguno se comporta el fenómeno como la hipótesis lo daba por supuesto. H1 y H3 lo registran, pero con una cronología o un sentido distintos de los previstos. H4 no lo registra. Y en H2 las fuentes disponibles no permiten pronunciarse. De ahí se sigue una consecuencia para el objeto de estudio: en el plano sectorial los objetivos se alcanzan de forma desigual —el volumen de inversión y su peso relativo están establecidos desde 2014, el reparto por medios solo admite observación en ejercicios aislados y el reparto por canales no admite ninguna—, y esa asimetría entre lo que puede decirse del mercado y lo que puede decirse del sector es, en sí misma, uno de los resultados del trabajo, que se retoma en las conclusiones.</w:t>
      </w:r>
    </w:p>
    <w:p>
      <w:pPr>
        <w:pStyle w:val="Heading2"/>
      </w:pPr>
      <w:r>
        <w:t>[16] 8.CONCLUSIONES — v2 pág. 39 — LIMPIA</w:t>
      </w:r>
    </w:p>
    <w:p>
      <w:r>
        <w:rPr>
          <w:i/>
        </w:rPr>
        <w:t>IA en v2: 32 %  →  v11 (38 % IA): 0 %  ·  similitud léxica 0.86  ·  origen: TFG_Bejarano_v11_tipografia-coherencia.docx (pág. 41)</w:t>
      </w:r>
    </w:p>
    <w:p>
      <w:pPr>
        <w:jc w:val="both"/>
      </w:pPr>
      <w:r>
        <w:rPr>
          <w:b/>
        </w:rPr>
        <w:t xml:space="preserve">TEXTO ACTUAL EN v2 — </w:t>
      </w:r>
      <w:r>
        <w:t xml:space="preserve">El segundo objetivo específico, describir la evolución de la inversión del sector diferenciando los medios convencionales del digital, se ha conseguido de forma desigual en los dos planos observables. En el mercado la respuesta es rotunda: el medio digital pasó del 21,0 % de la inversión controlada en 2014 al 38,6 % en 2019 y al 47,6 % en 2023, superando a la televisión como primer receptor en 2019, tras un ejercicio de práctico empate. </w:t>
      </w:r>
      <w:r>
        <w:rPr>
          <w:highlight w:val="yellow"/>
        </w:rPr>
        <w:t xml:space="preserve">La fase más intensa no fue la que esperaba la primera hipótesis, sino la previa: entre 2014 y 2019 el medio digital subió 3,51 puntos de cuota por ejercicio, mientras que entre 2020 y 2023 avanzó solo 1,02 puntos. </w:t>
      </w:r>
    </w:p>
    <w:p>
      <w:pPr>
        <w:jc w:val="both"/>
      </w:pPr>
      <w:r>
        <w:rPr>
          <w:b/>
        </w:rPr>
        <w:t xml:space="preserve">REEMPLAZO PROPUESTO — </w:t>
      </w:r>
      <w:r>
        <w:t>El segundo objetivo específico, describir la evolución de la inversión del sector diferenciando los medios convencionales del digital, se ha conseguido de forma desigual en los dos planos observables. En el mercado la respuesta es rotunda: el medio digital pasó del 6,1 % de la inversión controlada en 2007 al 38,6 % en 2019 y al 47,6 % en 2023, superando a la televisión como primer receptor en 2019, tras un ejercicio de práctico empate. La fase más intensa no fue la que preveía la primera hipótesis, sino la anterior: entre 2014 y 2019 el medio digital ganó 3,51 puntos de cuota por ejercicio, y entre 2020 y 2023 solo 1,02.</w:t>
      </w:r>
    </w:p>
    <w:p>
      <w:pPr>
        <w:pStyle w:val="Heading1"/>
      </w:pPr>
      <w:r>
        <w:t>3. Párrafos de la v2 sin alternativa limpia (41)</w:t>
      </w:r>
    </w:p>
    <w:p>
      <w:r>
        <w:t>Estos párrafos siguen marcados como IA en la v2 y en todas las versiones posteriores comparables: hay que reescribirlos a mano. Se ordenan por volumen de texto marcado.</w:t>
      </w:r>
    </w:p>
    <w:p>
      <w:pPr>
        <w:pStyle w:val="Heading2"/>
      </w:pPr>
      <w:r>
        <w:t>[P01] 2.3.MARCA, AUDIENCIA Y NUEVAS LÓGICAS COMUNICATIVAS — v2 pág. 14 — 100 % IA</w:t>
      </w:r>
    </w:p>
    <w:p>
      <w:r>
        <w:t>Mínimo alcanzado en las otras versiones: v11 (38 % IA) con 100 % (similitud 0.80).</w:t>
      </w:r>
    </w:p>
    <w:p>
      <w:pPr>
        <w:jc w:val="both"/>
      </w:pPr>
      <w:r>
        <w:rPr>
          <w:highlight w:val="yellow"/>
        </w:rPr>
        <w:t xml:space="preserve">La marca interesa aquí en la medida en que la comunicación comercial vehicula atributos, significados simbólicos o beneficios que puedan discernirse en los mensajes, sin necesidad de desarrollar una teoría total del branding. Tres aportaciones bastan para fijar esa noción. Capriotti (2009) organiza el campo en torno a la identidad y la imagen: la identidad remite a la manifestación de lo que la organización es y de lo que se concibe a sí misma, y la imagen, a la representación que se configura en los públicos. Currás Pérez (2010) refuerza esa distinción al subrayar la exigencia de no considerarlas equivalentes, ya que confundir identidad e imagen lleva a confundir la relación entre emisión e interpretación. Keller (1993) la completa al concebir la imagen de marca como una red de asociaciones relacionada con la conciencia de marca, lo que impide considerar la marca solo como una abstracción o suponer que todo significado proyectado queda incorporado sin fricciones por el público. De ahí que el asunto no sea qué proyecta la marca, sino cómo circula y se vuelve a interpretar esa proyección. Hall (1980) rompe con el modelo lineal: que una marca codifique un mensaje con una intención determinada no implica que se decodifique en ese mismo sentido, ni que de ahí derive un efecto persuasivo estable. Jenkins (2006) describe la convergencia como un flujo de contenidos a través de múltiples plataformas en el que la experiencia comunicativa se distribuye y depende menos de un único foco de emisión: aquello que una marca emite puede reenviarse, comentarse o recontextualizarse en espacios distintos al inicial. Castelló Martínez et al. (2014), en su estudio acerca de Twitter como canal de comunicación de las agencias con los grandes anunciantes en España, demuestran que la observación de la comunicación digital requiere variables de actividad e interacción que el anuncio unidireccional no considera. </w:t>
      </w:r>
    </w:p>
    <w:p>
      <w:pPr>
        <w:pStyle w:val="Heading2"/>
      </w:pPr>
      <w:r>
        <w:t>[P02] LAS SERIES — v2 pág. 25 — 64 % IA</w:t>
      </w:r>
    </w:p>
    <w:p>
      <w:r>
        <w:t>Mínimo alcanzado en las otras versiones: v12 bloques (46 % IA) con 64 % (similitud 1.00).</w:t>
      </w:r>
    </w:p>
    <w:p>
      <w:pPr>
        <w:jc w:val="both"/>
      </w:pPr>
      <w:r>
        <w:rPr>
          <w:highlight w:val="yellow"/>
        </w:rPr>
        <w:t xml:space="preserve">Que ese contraste se haga en 2022 no es una elección, sino la única posibilidad, porque la apertura del medio digital que publica InfoAdex ha conocido tres configuraciones sucesivas. </w:t>
      </w:r>
      <w:r>
        <w:t xml:space="preserve"> Entre 2007 y 2016 aparecen dos partidas contables, enlaces patrocinados y formatos gráficos, que suman lo que llamamos search + display, y abarcan el total de las redes sociales. Entre 2017 y 2019, tras la revisión de serie que introduce la edición de 2020, la segunda partida pasa a denominarse display y vídeo e incorpora las redes sociales: search y display siguen sumando el total, pero sus cifras no son comparables ni con el tramo anterior ni con IAB Spain, que nunca ha incluido las redes sociales dentro del display. InfoAdex empieza a etiquetar en 2022 como partidas propias Websites, Redes Sociales y search, de manera que las tres sumen el total del medio. Es la primera vez que ambas fuentes describen la misma estructura interna. </w:t>
      </w:r>
      <w:r>
        <w:rPr>
          <w:highlight w:val="yellow"/>
        </w:rPr>
        <w:t xml:space="preserve">Los ejercicios 2020 y 2021 no pueden situarse con seguridad en esa sucesión. En los gráficos comparativos del Observatorio de la Publicidad las redes sociales y el vídeo están ambos años integrados en display y vídeo (Asociación Española de Anunciantes, 2021, 2022), pero la aritmética de esos mismos documentos no lo corrobora: en 2021 la suma de search, display y redes sociales —873,0, 948,5 y 660,7 millones de euros— asciende a 2.482,2, cifra que coincide exactamente con el total del medio que esa edición agrega en su ranking por medios, en un gráfico distinto. Solo coincide cuando las tres partidas son disyuntas, o sea, cuando el rótulo no indica lo que contienen las cifras. En 2020 la suma excede en 12,9 millones de euros. Por tanto, no se puede asignar esos dos ejercicios a una u otra configuración, y es por eso por lo que el contraste de fuentes se establece en 2022. El volumen total del medio digital, sin embargo, se mantiene estable en las tres: el reparto cambia, no el agregado. Esa estabilidad del agregado es la que permite construir series continuas sobre el total, pero no comparables entre unas partidas y otras. </w:t>
      </w:r>
    </w:p>
    <w:p>
      <w:pPr>
        <w:pStyle w:val="Heading2"/>
      </w:pPr>
      <w:r>
        <w:t>[P03] 2.2.TRANSFORMACIÓN DEL ECOSISTEMA PUBLICITARIO — v2 pág. 11 — 100 % IA</w:t>
      </w:r>
    </w:p>
    <w:p>
      <w:r>
        <w:t>Mínimo alcanzado en las otras versiones: v11 (38 % IA) con 100 % (similitud 0.89).</w:t>
      </w:r>
    </w:p>
    <w:p>
      <w:pPr>
        <w:jc w:val="both"/>
      </w:pPr>
      <w:r>
        <w:rPr>
          <w:highlight w:val="yellow"/>
        </w:rPr>
        <w:t xml:space="preserve">No se puede hablar del cambio de ecosistema publicitario solamente en términos de crecimiento de internet, como si se tratara de un simple cambio de soportes: es un cambio que afecta a la estructura del sistema en el que se inscribe la publicidad y, con ella, al proceso de comunicación en el que actúa. El concepto de «ecosistema mediático» permite ordenar esa reflexión sin empobrecerla. Scolari (2010) propone la ecología de los medios como una mirada atenta a las relaciones entre tecnologías, prácticas, usos y procesos comunicativos, y no como el estudio aislado de un mensaje o de un soporte. La novedad que aporta es la postura de lectura: los medios no son compartimentos estancos que se suceden de manera ordenada, sino un sistema en el que conviven, se adaptan, se desplazan parcialmente y se reequilibran. Aplicado al campo publicitario, ese criterio impide leer la evolución reciente como una historia lineal en la que un medio sustituye sin más al anterior. Lo que se modifica no es solo el peso relativo de ciertos soportes, sino también el modo en que se configura el conjunto del sistema y las reglas de circulación de los mensajes promocionales. </w:t>
      </w:r>
    </w:p>
    <w:p>
      <w:pPr>
        <w:pStyle w:val="Heading2"/>
      </w:pPr>
      <w:r>
        <w:t>[P04] LAS SERIES — v2 pág. 25 — 100 % IA</w:t>
      </w:r>
    </w:p>
    <w:p>
      <w:r>
        <w:t>Mínimo alcanzado en las otras versiones: v12 copia (53 % IA) con 80 % (similitud 1.00).</w:t>
      </w:r>
    </w:p>
    <w:p>
      <w:pPr>
        <w:jc w:val="both"/>
      </w:pPr>
      <w:r>
        <w:rPr>
          <w:highlight w:val="yellow"/>
        </w:rPr>
        <w:t xml:space="preserve">En 2022 la suma de las tres partidas de InfoAdex coincide exactamente con el total de su medio digital, lo que indica una partición completa y sin superposición. Sobre esa base, la cifra de IAB Spain es 1,70 veces la que contabiliza InfoAdex en el mismo mercado y ejercicio. La divergencia no es homogénea: en search se sitúa en 1,70 y en redes sociales en 1,76, mientras que en display desciende hasta 1,07, apenas un 7 % de diferencia. Esta distribución es coherente con los procedimientos descritos en el apartado 6.3: el control de piezas en que se sustenta InfoAdex capta bien la publicidad insertada en soportes web, pero no la inversión en search y en redes sociales, cuya contratación no deja una huella publicitaria observable equivalente, mientras que la estimación de IAB Spain, basada en declaraciones de los operadores, sí la recoge. La distancia entre ambas cifras no representa dos tamaños de mercado, sino dos capacidades diferentes de observarlo, y por ello este trabajo no las combina en ninguna serie. </w:t>
      </w:r>
    </w:p>
    <w:p>
      <w:pPr>
        <w:pStyle w:val="Heading2"/>
      </w:pPr>
      <w:r>
        <w:t>[P05] 2.2.TRANSFORMACIÓN DEL ECOSISTEMA PUBLICITARIO — v2 pág. 12 — 100 % IA</w:t>
      </w:r>
    </w:p>
    <w:p>
      <w:r>
        <w:t>Mínimo alcanzado en las otras versiones: v11 (38 % IA) con 100 % (similitud 0.91).</w:t>
      </w:r>
    </w:p>
    <w:p>
      <w:pPr>
        <w:jc w:val="both"/>
      </w:pPr>
      <w:r>
        <w:rPr>
          <w:highlight w:val="yellow"/>
        </w:rPr>
        <w:t xml:space="preserve">No se puede abordar el entorno digital como una unidad analítica. IAB Spain y PwC España (2025) dan cuenta de su heterogeneidad interna y de las diferencias de comportamiento entre search, redes sociales, display, clasificados, audio digital, televisión conectada y DOOH. Además, esa taxonomía no es estable: hasta la edición de 2018 el estudio recogía el vídeo y el branded content como partidas independientes y desde la edición de 2019 el display los integra, mientras que las redes sociales pasan a canal independiente. El efecto de esta interrupción de la serie desde el punto de vista del método se explica en el apartado 6.3. El cambio de ecosistema no admite, pues, la forma de una simple migración de los medios convencionales a internet: lo que hay es un sistema de capas donde medios y formatos compiten, se especializan y se complementan, y en el que se modifica la distribución de la inversión y, con ella, la planificación, la medición y el ajuste continuo de las campañas. </w:t>
      </w:r>
    </w:p>
    <w:p>
      <w:pPr>
        <w:pStyle w:val="Heading2"/>
      </w:pPr>
      <w:r>
        <w:t>[P06] 2.2.TRANSFORMACIÓN DEL ECOSISTEMA PUBLICITARIO — v2 pág. 13 — 100 % IA</w:t>
      </w:r>
    </w:p>
    <w:p>
      <w:r>
        <w:t>Mínimo alcanzado en las otras versiones: v11 (38 % IA) con 100 % (similitud 0.99).</w:t>
      </w:r>
    </w:p>
    <w:p>
      <w:pPr>
        <w:jc w:val="both"/>
      </w:pPr>
      <w:r>
        <w:rPr>
          <w:highlight w:val="yellow"/>
        </w:rPr>
        <w:t xml:space="preserve">La transformación alcanza también a la forma del mensaje. Del Pino Romero y Castelló Martínez (2015) sitúan el branded content en un escenario en el que los contenidos de entretenimiento o de interés ocupan un lugar significativo en las estrategias publicitarias: una parte de la comunicación comercial deja de apoyarse solo en la pieza publicitaria convencional y se despliega en formatos que se funden con el contenido, el relato y la estrategia de marca. Algo parecido sucede con la personalización basada en datos, y Selva-Ruiz y Caro-Castaño (2016) destacan la posibilidad de crear y modificar la comunicación en función de datos referidos a contextos, perfiles o comportamientos, lo que permite adaptar contenidos, contextos de aparición y criterios de distribución con una precisión muy superior a la del ecosistema tradicional. En ambos casos cambia el mensaje, no solo el medio en el que aparece. </w:t>
      </w:r>
    </w:p>
    <w:p>
      <w:pPr>
        <w:pStyle w:val="Heading2"/>
      </w:pPr>
      <w:r>
        <w:t>[P07] 2.3.MARCA, AUDIENCIA Y NUEVAS LÓGICAS COMUNICATIVAS — v2 pág. 15 — 100 % IA</w:t>
      </w:r>
    </w:p>
    <w:p>
      <w:r>
        <w:t>Mínimo alcanzado en las otras versiones: v11 (38 % IA) con 100 % (similitud 0.99).</w:t>
      </w:r>
    </w:p>
    <w:p>
      <w:pPr>
        <w:jc w:val="both"/>
      </w:pPr>
      <w:r>
        <w:rPr>
          <w:highlight w:val="yellow"/>
        </w:rPr>
        <w:t xml:space="preserve">Los antecedentes empíricos del caso español corroboran que esta reformulación tiene implicaciones reales. Bonales-Daimiel y Mañas-Viniegra (2022) constatan el desajuste entre lo que la publicidad del automóvil comunica y lo que consumidores y expertos consideran relevante; Bonales-Daimiel et al. (2024) detectan la sostenibilidad como valor de marca en creatividades digitales concretas, sin que ello suponga una prueba de eficacia persuasiva; y Matosas-López y Romero-Ania (2021) muestran que la interacción medible en plataforma recoge comportamientos observables que no equivalen a una recepción profunda. Los tres estudios apuntan en la misma dirección: parte de la actividad comunicativa de las marcas se desarrolla hoy en espacios en los que la respuesta de las audiencias resulta observable, aunque esa observación capte solo una dimensión limitada de la relación comunicativa. </w:t>
      </w:r>
    </w:p>
    <w:p>
      <w:pPr>
        <w:pStyle w:val="Heading2"/>
      </w:pPr>
      <w:r>
        <w:t>[P08] 7.5.EL MIX DE CANALES DEL MEDIO DIGITAL Y LA POSICIÓN DEL SECTOR — v2 pág. 37 — 100 % IA</w:t>
      </w:r>
    </w:p>
    <w:p>
      <w:r>
        <w:t>Mínimo alcanzado en las otras versiones: v11 (38 % IA) con 100 % (similitud 0.95).</w:t>
      </w:r>
    </w:p>
    <w:p>
      <w:pPr>
        <w:jc w:val="both"/>
      </w:pPr>
      <w:r>
        <w:rPr>
          <w:highlight w:val="yellow"/>
        </w:rPr>
        <w:t xml:space="preserve">El apartado 6.2 excluyó el vídeo y el branded content de la matriz de análisis porque, en su delimitación conceptual, no constituyen canales en el sentido allí definido. Los datos disponibles respaldan esa decisión por una vía distinta de la conceptual: ninguno de los dos admite una serie. IAB Spain reporta el vídeo como partida propia entre 2016 y 2018, con 158,6, 176,8 y 211,0 millones de euros respectivamente, y deja de hacerlo desde la edición referida a 2019, cuando pasa a integrarlo en display. La publicidad nativa y el branded content aparecen con 43,1 millones en 2018 y vuelven a reportarse por separado en 2023, con 96,0 millones según la nota de resultados de esa edición (IAB Spain &amp; PwC España, 2024), sin datos comparables en los ejercicios intermedios. Estos ejercicios se recogen en la Tabla A1 (Anexo A). </w:t>
      </w:r>
    </w:p>
    <w:p>
      <w:pPr>
        <w:pStyle w:val="Heading2"/>
      </w:pPr>
      <w:r>
        <w:t>[P09] 8.CONCLUSIONES — v2 pág. 40 — 100 % IA</w:t>
      </w:r>
    </w:p>
    <w:p>
      <w:r>
        <w:t>Mínimo alcanzado en las otras versiones: v11 (38 % IA) con 89 % (similitud 0.78).</w:t>
      </w:r>
    </w:p>
    <w:p>
      <w:pPr>
        <w:jc w:val="both"/>
      </w:pPr>
      <w:r>
        <w:rPr>
          <w:highlight w:val="yellow"/>
        </w:rPr>
        <w:t xml:space="preserve">Queda el tercer objetivo específico, analizar la composición interna de la inversión en el medio digital y ubicar en ella al sector. Se ha alcanzado en el plano de mercado y solo indirectamente en el sectorial. En el mercado, la proporción del canal search sobre el total del medio digital desciende en la serie de InfoAdex entre 2007 y 2023 y asciende en la de IAB Spain y PwC España, del 31,5 % al 34,8 % entre 2019 y 2022. El reparto entre search, display y redes sociales no se dispersa sino que se reordena: el display cede 7,3 puntos que absorben el search con 4,0 y las redes sociales con 3,2. En el plano sectorial lo único observable es la posición del sector dentro de ese mercado digital, que desciende del 25,3 % en 2017 al 8,8 % en 2022. El sector fue el primer anunciante del medio digital español y dejó de serlo. </w:t>
      </w:r>
    </w:p>
    <w:p>
      <w:pPr>
        <w:pStyle w:val="Heading2"/>
      </w:pPr>
      <w:r>
        <w:t>[P10] 8.CONCLUSIONES — v2 pág. 40 — 100 % IA</w:t>
      </w:r>
    </w:p>
    <w:p>
      <w:r>
        <w:t>Mínimo alcanzado en las otras versiones: v11 (38 % IA) con 90 % (similitud 0.99).</w:t>
      </w:r>
    </w:p>
    <w:p>
      <w:pPr>
        <w:jc w:val="both"/>
      </w:pPr>
      <w:r>
        <w:rPr>
          <w:highlight w:val="yellow"/>
        </w:rPr>
        <w:t xml:space="preserve">Estos resultados coinciden con la literatura en lo estructural y la corrigen en lo cronológico. La advertencia de Scolari (2010) sobre una lectura lineal del cambio mediático se verifica sin reservas: no ha habido sustitución de unos medios por otros, sino reequilibrio. En 2023 la televisión continúa siendo el primer medio convencional del mercado español, con 1.735,0 millones de euros, y fue la mayor receptora de la inversión convencional del sector en los dos únicos ejercicios observables, con el 59,8 % en 2016 y el 63,4 % en 2018. La diferencia entre search y display que propuso Cea Esteruelas (2012) resulta igualmente productiva, con un matiz que la literatura no preveía: la evolución depende de la fuente con que se mida, con lo que un problema aparentemente técnico se vuelve sustantivo. </w:t>
      </w:r>
    </w:p>
    <w:p>
      <w:pPr>
        <w:pStyle w:val="Heading2"/>
      </w:pPr>
      <w:r>
        <w:t>[P11] 2.2.TRANSFORMACIÓN DEL ECOSISTEMA PUBLICITARIO — v2 pág. 12 — 100 % IA</w:t>
      </w:r>
    </w:p>
    <w:p>
      <w:r>
        <w:t>Mínimo alcanzado en las otras versiones: v11 (38 % IA) con 100 % (similitud 0.62).</w:t>
      </w:r>
    </w:p>
    <w:p>
      <w:pPr>
        <w:jc w:val="both"/>
      </w:pPr>
      <w:r>
        <w:rPr>
          <w:highlight w:val="yellow"/>
        </w:rPr>
        <w:t xml:space="preserve">alteran sustantivamente la planificación: el cambio no está en darse de alta «en la red», sino en entrar a un espacio con canales diferenciados —entre ellos display y search— que responden a lógicas distintas de inserción, visibilidad y respuesta. Por su parte, Castelló Martínez (2014) destaca la integración de los medios dentro de estrategias más amplias y la centralidad de la transmedialidad: los medios tradicionales no se desvanecen, sino que pierden el monopolio organizativo del sistema anterior y quedan integrados en recorridos de contacto más complejos que ya no se apoyan en un solo soporte o una única pantalla. Las tres lecturas coinciden en lo que importa para este trabajo: lo que cambia no es el catálogo de medios, sino las condiciones en las que se decide dónde invertir. </w:t>
      </w:r>
    </w:p>
    <w:p>
      <w:pPr>
        <w:pStyle w:val="Heading2"/>
      </w:pPr>
      <w:r>
        <w:t>[P12] 6.4.FASES DE LA INVESTIGACIÓN — v2 pág. 23 — 85 % IA</w:t>
      </w:r>
    </w:p>
    <w:p>
      <w:r>
        <w:t>Mínimo alcanzado en las otras versiones: v12 bloques (46 % IA) con 70 % (similitud 1.00).</w:t>
      </w:r>
    </w:p>
    <w:p>
      <w:pPr>
        <w:jc w:val="both"/>
      </w:pPr>
      <w:r>
        <w:t>Fase 2 — Investigación documental.</w:t>
      </w:r>
      <w:r>
        <w:rPr>
          <w:highlight w:val="yellow"/>
        </w:rPr>
        <w:t xml:space="preserve"> Los datos de cada fuente del corpus fueron recogidos y ordenados en una matriz común, articulada por medio, por canal dentro del medio digital y por los tres subperiodos definidos en el marco teórico (2007–2013, 2014–2019, 2020–2025). La matriz no recoge todo lo disponible en cada fuente, sino que filtra lo pertinente según el criterio de convergencia con los objetivos específicos, para no desviarse hacia líneas de análisis no previstas. Incluye también la asimetría de cobertura comentada en el apartado 6.3: para el periodo 2007–2015 se elaboró a partir de InfoAdex y literatura académica, a partir de 2016 se sumó la desagregación por canales de IAB Spain y PwC España y, a partir de 2019, la apertura de las redes sociales como canal independiente. L</w:t>
      </w:r>
      <w:r>
        <w:t>os datos ya estaban clasificados y listos para analizarse, pero todavía no se habían interpretado.</w:t>
      </w:r>
    </w:p>
    <w:p>
      <w:pPr>
        <w:pStyle w:val="Heading2"/>
      </w:pPr>
      <w:r>
        <w:t>[P13] 6.3.TRATAMIENTO DE LAS FUENTES: UNIVERSOS, RUPTURAS Y COBERTURA — v2 pág. 22 — 100 % IA</w:t>
      </w:r>
    </w:p>
    <w:p>
      <w:r>
        <w:t>Mínimo alcanzado en las otras versiones: v11 (38 % IA) con 100 % (similitud 0.97).</w:t>
      </w:r>
    </w:p>
    <w:p>
      <w:pPr>
        <w:jc w:val="both"/>
      </w:pPr>
      <w:r>
        <w:rPr>
          <w:highlight w:val="yellow"/>
        </w:rPr>
        <w:t xml:space="preserve">Tampoco la disponibilidad de datos es homogénea. La distribución del conjunto del mercado está disponible de forma continua en el universo de InfoAdex. El detalle por sectores es más limitado: la serie de inversión de la automoción empieza en 2014 y su desglose por medios solo está completo en 2016, ya que el Observatorio de la Publicidad dejó de publicar esa tabla y pasó a indicar únicamente el sector que lidera cada medio (Asociación Española de Anunciantes, 2019, 2020, 2021, 2022). Esa asimetría condiciona el alcance de cada epígrafe de resultados, y se declara en todos ellos: el primer subperiodo se analiza solo en el plano del mercado y el análisis sectorial se concentra en los dos siguientes. </w:t>
      </w:r>
    </w:p>
    <w:p>
      <w:pPr>
        <w:pStyle w:val="Heading2"/>
      </w:pPr>
      <w:r>
        <w:t>[P14] 7.6.SÍNTESIS DEL CONTRASTE DE HIPÓTESIS — v2 pág. 38 — 100 % IA</w:t>
      </w:r>
    </w:p>
    <w:p>
      <w:r>
        <w:t>Mínimo alcanzado en las otras versiones: v11 (38 % IA) con 88 % (similitud 0.38).</w:t>
      </w:r>
    </w:p>
    <w:p>
      <w:pPr>
        <w:jc w:val="both"/>
      </w:pPr>
      <w:r>
        <w:rPr>
          <w:highlight w:val="yellow"/>
        </w:rPr>
        <w:t xml:space="preserve">Las dos últimas tienen solución distinta. El porcentaje de canal search sobre el medio digital desciende en la serie de InfoAdex entre 2007 y 2023, cuando H3 preveía su ascenso, y asciende en la de IAB Spain entre 2019 y 2022, del 31,5 % al 34,8 %: el veredicto depende de la fuente con la que se mida, y esa divergencia confirma en el plano empírico la advertencia metodológica del apartado 7.1. El reparto de search, display y redes sociales, por otra parte, no se dispersa: se reorganiza, y el índice de concentración permanece dentro de un rango de 63 puntos. En los dos casos ocurre el fenómeno previsto —transformación interna del medio digital—, pero no en el sentido que las hipótesis suponían. </w:t>
      </w:r>
    </w:p>
    <w:p>
      <w:pPr>
        <w:pStyle w:val="Heading2"/>
      </w:pPr>
      <w:r>
        <w:t>[P15] 2.2.TRANSFORMACIÓN DEL ECOSISTEMA PUBLICITARIO — v2 pág. 12 — 100 % IA</w:t>
      </w:r>
    </w:p>
    <w:p>
      <w:r>
        <w:t>Mínimo alcanzado en las otras versiones: v12 copia (53 % IA) con 89 % (similitud 0.30).</w:t>
      </w:r>
    </w:p>
    <w:p>
      <w:pPr>
        <w:jc w:val="both"/>
      </w:pPr>
      <w:r>
        <w:rPr>
          <w:highlight w:val="yellow"/>
        </w:rPr>
        <w:t xml:space="preserve">El cambio estructural del sector publicitario está relacionado con la transformación del sistema de medios, la digitalización y la multiplicación de los puntos de contacto, tal y como describen Martín-Guart y Fernández-Cavia (2014). No es la aparición de nuevos medios lo decisivo sino la modificación de las condiciones en que se articula el proceso publicitario: la publicidad deja de operar en un entorno de pocos medios masivos para hacerlo en un sistema distribuido, móvil y multiplataforma, donde la exposición concentrada ya no basta como lógica única. Así, la consolidación de la publicidad interactiva —sostiene Cea Esteruelas (2012)— incorpora </w:t>
      </w:r>
    </w:p>
    <w:p>
      <w:pPr>
        <w:pStyle w:val="Heading2"/>
      </w:pPr>
      <w:r>
        <w:t>[P16] COMERCIAL EN EL SECTOR DE AUTOMOCIÓN — v2 pág. 16 — 58 % IA</w:t>
      </w:r>
    </w:p>
    <w:p>
      <w:r>
        <w:t>Mínimo alcanzado en las otras versiones: v12 copia (53 % IA) con 81 % (similitud 0.41).</w:t>
      </w:r>
    </w:p>
    <w:p>
      <w:pPr>
        <w:jc w:val="both"/>
      </w:pPr>
      <w:r>
        <w:rPr>
          <w:highlight w:val="yellow"/>
        </w:rPr>
        <w:t>Las otras tres líneas están mucho menos desarrolladas y comparten un mismo límite. En cuanto a formatos, el trabajo de Bonales-Daimiel y Miguélez-Juan (2022) sobre el caso SEAT Mii by Cosmopolitan pone de relieve que la automoción puede analizarse desde fórmulas de branded content, donde confluyen promoción, narrativa y segmentación simbólica. Bonales- Daimiel et al. (2024) trabajan la sostenibilidad en la publicidad del automóvil en España en valor de marca y muestran cómo analizar la incorporación de determinados valores en creatividades digitales observables, sin que se convierta en un test automático de eficacia o de ventas.</w:t>
      </w:r>
      <w:r>
        <w:t xml:space="preserve"> En interacción, Matosas-López y Romero-Ania (2021) centran su trabajo en el segmento de automoción en España en Twitter y demuestran que el sector admite análisis con métricas digitales de engagement, aunque sobre una red concreta y con una dimensión muy parcial de la relación comunicativa. Ninguna de las tres ofrece una visión de conjunto del sector ni tampoco una lectura longitudinal, pero todas ellas abren frentes de análisis empíricamente viables.</w:t>
      </w:r>
    </w:p>
    <w:p>
      <w:pPr>
        <w:pStyle w:val="Heading2"/>
      </w:pPr>
      <w:r>
        <w:t>[P17] 7.6.SÍNTESIS DEL CONTRASTE DE HIPÓTESIS — v2 pág. 37 — 100 % IA</w:t>
      </w:r>
    </w:p>
    <w:p>
      <w:r>
        <w:t>Mínimo alcanzado en las otras versiones: v12 bloques (46 % IA) con 58 % (similitud 0.37).</w:t>
      </w:r>
    </w:p>
    <w:p>
      <w:pPr>
        <w:jc w:val="both"/>
      </w:pPr>
      <w:r>
        <w:rPr>
          <w:highlight w:val="yellow"/>
        </w:rPr>
        <w:t xml:space="preserve">Con H2 sucede algo distinto: no falla, queda sin posibilidad de ser evaluada. Se estableció para el periodo 2020–2025 y la fuente que ofrecía la distribución sectorial por medios dejó de publicarla en su edición de 2019. Los dos ejercicios anteriores con dato la respaldan sin ambigüedad —el 59,8 % de la inversión convencional del sector en 2016 y el 63,4 % en 2018, con tendencia creciente—, pero ninguno de ellos permite extender esa observación al periodo que la hipótesis nombra. La indeterminación no procede de un defecto del diseño, sino de una decisión editorial posterior por parte de la fuente. </w:t>
      </w:r>
    </w:p>
    <w:p>
      <w:pPr>
        <w:pStyle w:val="Heading2"/>
      </w:pPr>
      <w:r>
        <w:t>[P18] 7.5.EL MIX DE CANALES DEL MEDIO DIGITAL Y LA POSICIÓN DEL SECTOR — v2 pág. 36 — 96 % IA</w:t>
      </w:r>
    </w:p>
    <w:p>
      <w:r>
        <w:t>Mínimo alcanzado en las otras versiones: v11 (38 % IA) con 61 % (similitud 0.70).</w:t>
      </w:r>
    </w:p>
    <w:p>
      <w:pPr>
        <w:jc w:val="both"/>
      </w:pPr>
      <w:r>
        <w:rPr>
          <w:highlight w:val="yellow"/>
        </w:rPr>
        <w:t>H4 se contrasta sobre dicho reparto. La cuarta hipótesis sostenía que en ese tramo la inversión en el medio digital se habría distribuido de forma menos concentrada entre los tres canales, en coherencia con la fragmentación interna del entorno digital que describe el apartado 2.2. Esa dispersión no existe. El índice de concentración calculado sobre las tres cuotas, donde 3.333 sería un reparto perfectamente equitativo, da 3.360 en 2019, 3.347 en 2020, 3.400 en 2021 y 3.410 en 2022: 63 puntos de oscilación, sin tendencia a la dispersión y, si acaso, en dirección contraria.</w:t>
      </w:r>
      <w:r>
        <w:t xml:space="preserve"> H4 no está confirmada.</w:t>
      </w:r>
    </w:p>
    <w:p>
      <w:pPr>
        <w:pStyle w:val="Heading2"/>
      </w:pPr>
      <w:r>
        <w:t>[P19] 2.3.MARCA, AUDIENCIA Y NUEVAS LÓGICAS COMUNICATIVAS — v2 pág. 14 — 74 % IA</w:t>
      </w:r>
    </w:p>
    <w:p>
      <w:r>
        <w:t>Mínimo alcanzado en las otras versiones: v12 bloques (46 % IA) con 98 % (similitud 0.16).</w:t>
      </w:r>
    </w:p>
    <w:p>
      <w:pPr>
        <w:jc w:val="both"/>
      </w:pPr>
      <w:r>
        <w:rPr>
          <w:highlight w:val="yellow"/>
        </w:rPr>
        <w:t xml:space="preserve">Se añade trazabilidad a la circulación. Turow (2012) define el entorno digital como una lógica industrial de seguimiento, categorización e inferencia sobre los individuos a partir de datos observables, que afecta tanto el lugar donde se sitúa el mensaje como a quién se dirige y con qué información se va reajustando; en la misma línea Selva-Ruiz y Caro-Castaño (2016) ubican la microsegmentación y el ajuste contextual entre los criterios de planificación. Pereira- Villazón et al. (2021), por su parte, advierten que el campo de la marca corporativa continúa </w:t>
      </w:r>
      <w:r>
        <w:t xml:space="preserve"> fragmentado a nivel conceptual, lo que justifica el empleo aquí solo de las nociones necesarias para entender cómo circulan las asociaciones de marca, sin entrar a resolver los debates sobre branding.</w:t>
      </w:r>
    </w:p>
    <w:p>
      <w:pPr>
        <w:pStyle w:val="Heading2"/>
      </w:pPr>
      <w:r>
        <w:t>[P20] 8.CONCLUSIONES — v2 pág. 40 — 100 % IA</w:t>
      </w:r>
    </w:p>
    <w:p>
      <w:r>
        <w:t>Mínimo alcanzado en las otras versiones: v11 (38 % IA) con 100 % (similitud 0.94).</w:t>
      </w:r>
    </w:p>
    <w:p>
      <w:pPr>
        <w:jc w:val="both"/>
      </w:pPr>
      <w:r>
        <w:rPr>
          <w:highlight w:val="yellow"/>
        </w:rPr>
        <w:t xml:space="preserve">Con ello se puede responder al objetivo general. Entre 2007 y 2025 la inversión publicitaria del sector se trasladó efectivamente hacia el medio digital, pero esa evolución no es una migración sostenida ni culmina en el tramo final del periodo: es un avance intenso y breve, concentrado entre 2016 y 2019, seguido de una contracción general en la que el medio digital no queda a la zaga de los convencionales. La industria es hoy relativamente más digital que en 2016 y menos activa en términos absolutos que en 2018, y ambas cosas son resultado del mismo proceso. </w:t>
      </w:r>
    </w:p>
    <w:p>
      <w:pPr>
        <w:pStyle w:val="Heading2"/>
      </w:pPr>
      <w:r>
        <w:t>[P21] 2.2.TRANSFORMACIÓN DEL ECOSISTEMA PUBLICITARIO — v2 pág. 13 — 64 % IA</w:t>
      </w:r>
    </w:p>
    <w:p>
      <w:r>
        <w:t>Mínimo alcanzado en las otras versiones: v11 (38 % IA) con 63 % (similitud 0.91).</w:t>
      </w:r>
    </w:p>
    <w:p>
      <w:pPr>
        <w:jc w:val="both"/>
      </w:pPr>
      <w:r>
        <w:rPr>
          <w:highlight w:val="yellow"/>
        </w:rPr>
        <w:t>El periodo analizado se divide en tres tramos, no como una secuencia tecnológica sino como una acumulación de capas de transformación. El espacio interactivo se consolida y la segmentación, la medición y la diferencia interna entre display y search ganan peso entre 2007 y 2013 (Cea Esteruelas, 2012).</w:t>
      </w:r>
      <w:r>
        <w:t xml:space="preserve"> La lógica de integración va ganando densidad entre 2014 y 2019: multiplataforma, transmedialidad, branded content y un uso más intensivo de los datos dejan de ser fenómenos laterales (Castelló Martínez, 2014; del Pino Romero &amp; Castelló Martínez, 2015; Martín-Guart &amp; Fernández-Cavia, 2014). </w:t>
      </w:r>
      <w:r>
        <w:rPr>
          <w:highlight w:val="yellow"/>
        </w:rPr>
        <w:t xml:space="preserve">Entre 2020 y 2025 el ecosistema se muestra como un entorno híbrido consolidado, con una medición más desarrollada de la inversión digital y una diversificación más visible de canales (IAB Spain &amp; PwC España, 2025; InfoAdex, 2026). </w:t>
      </w:r>
    </w:p>
    <w:p>
      <w:pPr>
        <w:pStyle w:val="Heading2"/>
      </w:pPr>
      <w:r>
        <w:t>[P22] 8.CONCLUSIONES — v2 pág. 40 — 80 % IA</w:t>
      </w:r>
    </w:p>
    <w:p>
      <w:r>
        <w:t>Mínimo alcanzado en las otras versiones: v12 final (48 % IA) con 68 % (similitud 0.39).</w:t>
      </w:r>
    </w:p>
    <w:p>
      <w:pPr>
        <w:jc w:val="both"/>
      </w:pPr>
      <w:r>
        <w:rPr>
          <w:highlight w:val="yellow"/>
        </w:rPr>
        <w:t xml:space="preserve">La aportación más certera está en la relación con el antecedente más inmediato. Bonales- Daimiel y Mañas-Viniegra (2021) ubican a la automoción dentro de la reconfiguración </w:t>
      </w:r>
      <w:r>
        <w:t xml:space="preserve"> publicitaria entre 2007 y 2018 y evidencian que su adaptación a internet era una dimensión observable de su evolución comunicativa. </w:t>
      </w:r>
      <w:r>
        <w:rPr>
          <w:highlight w:val="yellow"/>
        </w:rPr>
        <w:t xml:space="preserve">Ese tramo coincide con la fase ascendente que aquí se documenta. Al extender la observación hasta 2023 aparece lo que aquel recorte temporal no podía mostrar: la trayectoria que el antecedente registró no siguió. Este trabajo, pues, no corrige la literatura previa, sino que muestra que su conclusión estaba limitada por el periodo en que fue formulada. </w:t>
      </w:r>
    </w:p>
    <w:p>
      <w:pPr>
        <w:pStyle w:val="Heading2"/>
      </w:pPr>
      <w:r>
        <w:t>[P23] 9.LIMITACIONES Y PROSPECTIVA — v2 pág. 42 — 100 % IA</w:t>
      </w:r>
    </w:p>
    <w:p>
      <w:r>
        <w:t>Mínimo alcanzado en las otras versiones: v12 copia (53 % IA) con 67 % (similitud 1.00).</w:t>
      </w:r>
    </w:p>
    <w:p>
      <w:pPr>
        <w:jc w:val="both"/>
      </w:pPr>
      <w:r>
        <w:rPr>
          <w:highlight w:val="yellow"/>
        </w:rPr>
        <w:t xml:space="preserve">Queda un límite de diseño. El trabajo escoge como indicador de la evolución de la comunicación comercial del sector la inversión publicitaria, y esa elección tiene un coste explícito: la inversión mide el dinero, no el mensaje. Del análisis realizado no se puede concluir qué han comunicado las marcas de automóviles, con qué formatos, con qué repertorios valorativos y con qué resultado, ni tampoco es posible deducir ninguna relación causal entre la digitalización publicitaria y las ventas, la notoriedad o la preferencia. </w:t>
      </w:r>
    </w:p>
    <w:p>
      <w:pPr>
        <w:pStyle w:val="Heading2"/>
      </w:pPr>
      <w:r>
        <w:t>[P24] 7.4.EL REPARTO DE LA INVERSIÓN DEL SECTOR POR MEDIOS Y EL PESO DEL MED — v2 pág. 32 — 100 % IA</w:t>
      </w:r>
    </w:p>
    <w:p>
      <w:r>
        <w:t>Mínimo alcanzado en las otras versiones: v11 (38 % IA) con 100 % (similitud 0.94).</w:t>
      </w:r>
    </w:p>
    <w:p>
      <w:pPr>
        <w:jc w:val="both"/>
      </w:pPr>
      <w:r>
        <w:rPr>
          <w:highlight w:val="yellow"/>
        </w:rPr>
        <w:t xml:space="preserve">Ya en 2019 la fuente deja de asignar al sector cifra alguna de televisión: las ediciones consultadas solo identifican en cada medio el sector con mayor inversión, y la ausencia de la automoción en esa posición apunta a que dejó de encabezar la inversión televisiva, sin que esto permita determinar qué volumen le asignó ni qué lugar ocupaba ese medio en su reparto. Los únicos medios donde el sector aparece identificado después son el cine, entre 2019 y 2020, y las revistas en 2021; en 2022 no encabeza ninguno. </w:t>
      </w:r>
    </w:p>
    <w:p>
      <w:pPr>
        <w:pStyle w:val="Heading2"/>
      </w:pPr>
      <w:r>
        <w:t>[P25] 8.CONCLUSIONES — v2 pág. 39 — 60 % IA</w:t>
      </w:r>
    </w:p>
    <w:p>
      <w:r>
        <w:t>Mínimo alcanzado en las otras versiones: v11 (38 % IA) con 74 % (similitud 0.93).</w:t>
      </w:r>
    </w:p>
    <w:p>
      <w:pPr>
        <w:jc w:val="both"/>
      </w:pPr>
      <w:r>
        <w:t xml:space="preserve">El resultado más importante del trabajo surge de la conjunción de ambos planos, y contradice lo que cabría suponer. </w:t>
      </w:r>
      <w:r>
        <w:rPr>
          <w:highlight w:val="yellow"/>
        </w:rPr>
        <w:t>De 2016 a 2021 la participación del medio digital sobre el total de la inversión del sector se quintuplicó, del 6,9 % al 36,7 %: aislada, sería la cifra de una digitalización rápida y exitosa. Los volúmenes absolutos dicen lo contrario. L</w:t>
      </w:r>
      <w:r>
        <w:t xml:space="preserve">a inversión digital creció un 403,2 % entre 2016 y 2019, hasta 162,7 millones de euros, y bajó después un 25,0 % hasta los 122,0 millones en 2021, mientras la convencional descendía un 47,6 %, de 401,4 a 210,4 millones. </w:t>
      </w:r>
      <w:r>
        <w:rPr>
          <w:highlight w:val="yellow"/>
        </w:rPr>
        <w:t xml:space="preserve">La cuota digital no creció porque el sector invirtiera más en el medio digital, sino porque redujo casi al doble de velocidad lo que invertía fuera de él. En 2019 la digitalización del sector, medida en euros, se paró y no se ha recuperado dentro de la ventana de observación. </w:t>
      </w:r>
    </w:p>
    <w:p>
      <w:pPr>
        <w:pStyle w:val="Heading2"/>
      </w:pPr>
      <w:r>
        <w:t>[P26] 7.5.EL MIX DE CANALES DEL MEDIO DIGITAL Y LA POSICIÓN DEL SECTOR — v2 pág. 36 — 77 % IA</w:t>
      </w:r>
    </w:p>
    <w:p>
      <w:r>
        <w:t>Mínimo alcanzado en las otras versiones: v12 final (48 % IA) con 63 % (similitud 0.42).</w:t>
      </w:r>
    </w:p>
    <w:p>
      <w:pPr>
        <w:jc w:val="both"/>
      </w:pPr>
      <w:r>
        <w:rPr>
          <w:highlight w:val="yellow"/>
        </w:rPr>
        <w:t xml:space="preserve">De acuerdo con el segundo criterio del apartado 7.1, esa proporción se acompaña de su equivalencia a valores absolutos y el resultado modifica la lectura. </w:t>
      </w:r>
      <w:r>
        <w:t xml:space="preserve">La inversión digital asignable al sector es de 432,1 millones de euros en 2017, 467,3 en 2018, 463,5 en 2020, 370,3 en 2021 y 398,9 en 2022. </w:t>
      </w:r>
      <w:r>
        <w:rPr>
          <w:highlight w:val="yellow"/>
        </w:rPr>
        <w:t xml:space="preserve">En el periodo comprendido entre 2018 y 2020 la cuota baja 8,4 puntos y el volumen se mantiene prácticamente estable, tal y como se detalla en el apartado </w:t>
      </w:r>
      <w:r>
        <w:t xml:space="preserve"> 7.1.</w:t>
      </w:r>
      <w:r>
        <w:rPr>
          <w:highlight w:val="yellow"/>
        </w:rPr>
        <w:t xml:space="preserve"> El único descenso real se da en 2021, hasta 370,3 millones, y de menor magnitud que la que sugiere la cuota; en 2022 la cifra se recupera parcialmente, hasta 398,9 millones. </w:t>
      </w:r>
    </w:p>
    <w:p>
      <w:pPr>
        <w:pStyle w:val="Heading2"/>
      </w:pPr>
      <w:r>
        <w:t>[P27] 6.3.TRATAMIENTO DE LAS FUENTES: UNIVERSOS, RUPTURAS Y COBERTURA — v2 pág. 21 — 39 % IA</w:t>
      </w:r>
    </w:p>
    <w:p>
      <w:r>
        <w:t>Mínimo alcanzado en las otras versiones: v11 (38 % IA) con 39 % (similitud 1.00).</w:t>
      </w:r>
    </w:p>
    <w:p>
      <w:pPr>
        <w:jc w:val="both"/>
      </w:pPr>
      <w:r>
        <w:t xml:space="preserve">Ninguna de las dos fuentes ha tenido, además, una clasificación estable. En su edición correspondiente a 2018, IAB Spain organizaba sus resultados en tres partidas paralelas entre sí dentro del entorno de escritorio y móvil —display, vídeo y search— y dejaba la publicidad nativa y el branded content en un bloque independiente (IAB Spain &amp; PwC España, 2019). A partir de la edición correspondiente al 2019, su nota metodológica incluye vídeo y branded content dentro de display y declara a las redes sociales como partida propia: «Display (Excl. redes sociales): Display non-video, Video, Branded Content y Publicidad Nativa» (IAB Spain &amp; PwC España, 2021, p. 17). </w:t>
      </w:r>
      <w:r>
        <w:rPr>
          <w:highlight w:val="yellow"/>
        </w:rPr>
        <w:t xml:space="preserve">El rótulo «display» designa, pues, antes y después de esa edición, dos agregados distintos. La reclasificación coincidió con una ampliación de la base de declarantes y con nuevas partidas, y elevó el total digital de 1.971,9 a 3.150,2 millones de euros entre 2018 y 2019 —un salto del 59,7 % en un solo ejercicio— que no admite lectura como crecimiento del mercado. Las rupturas de InfoAdex y su cobertura se recogen en la Tabla </w:t>
      </w:r>
      <w:r>
        <w:t xml:space="preserve"> 2.</w:t>
      </w:r>
    </w:p>
    <w:p>
      <w:pPr>
        <w:pStyle w:val="Heading2"/>
      </w:pPr>
      <w:r>
        <w:t>[P28] 7.4.EL REPARTO DE LA INVERSIÓN DEL SECTOR POR MEDIOS Y EL PESO DEL MED — v2 pág. 34 — 100 % IA</w:t>
      </w:r>
    </w:p>
    <w:p>
      <w:r>
        <w:t>Mínimo alcanzado en las otras versiones: v12 final (48 % IA) con 0 % (similitud 1.00).</w:t>
      </w:r>
    </w:p>
    <w:p>
      <w:pPr>
        <w:jc w:val="both"/>
      </w:pPr>
      <w:r>
        <w:rPr>
          <w:highlight w:val="yellow"/>
        </w:rPr>
        <w:t xml:space="preserve">La categoría C3 de la matriz pide que se indique el momento en que la inversión digital supera a la convencional en el sector. No ocurre en los ejercicios cubiertos por este análisis: el máximo de la cuota digital sectorial, el 36,7 % de 2021, está lejos del umbral del 50 % y la serie no tiene datos posteriores. El mercado registró el relevo en 2019; el sector no lo había alcanzado dos años después. </w:t>
      </w:r>
    </w:p>
    <w:p>
      <w:pPr>
        <w:pStyle w:val="Heading2"/>
      </w:pPr>
      <w:r>
        <w:t>[P29] 9.LIMITACIONES Y PROSPECTIVA — v2 pág. 41 — 64 % IA</w:t>
      </w:r>
    </w:p>
    <w:p>
      <w:r>
        <w:t>Mínimo alcanzado en las otras versiones: v11 (38 % IA) con 32 % (similitud 1.00).</w:t>
      </w:r>
    </w:p>
    <w:p>
      <w:pPr>
        <w:jc w:val="both"/>
      </w:pPr>
      <w:r>
        <w:t>El tiempo de cobertura impone su propio límite: el periodo del título abarca de 2007 a 2025, pero no todas las series lo recorren</w:t>
      </w:r>
      <w:r>
        <w:rPr>
          <w:highlight w:val="yellow"/>
        </w:rPr>
        <w:t xml:space="preserve">. La serie del mercado por medios cubre el periodo 2007– 2023 sin interrupciones; la del volumen de inversión del sector arranca en 2014; la del reparto sectorial por medios solo dispone de cinco años con dato, uno de ellos completo; la del reparto sectorial por canales no existe. Los ejercicios 2024 y 2025 provienen de fuentes secundarias </w:t>
      </w:r>
      <w:r>
        <w:t xml:space="preserve"> no verificadas respecto al informe original y se identifican así en cada aparición.</w:t>
      </w:r>
      <w:r>
        <w:rPr>
          <w:highlight w:val="yellow"/>
        </w:rPr>
        <w:t xml:space="preserve"> No se han interpolado ni estimado lagunas. </w:t>
      </w:r>
    </w:p>
    <w:p>
      <w:pPr>
        <w:pStyle w:val="Heading2"/>
      </w:pPr>
      <w:r>
        <w:t>[P30] 8.CONCLUSIONES — v2 pág. 39 — 90 % IA</w:t>
      </w:r>
    </w:p>
    <w:p>
      <w:r>
        <w:t>Mínimo alcanzado en las otras versiones: v12 final (48 % IA) con 74 % (similitud 0.45).</w:t>
      </w:r>
    </w:p>
    <w:p>
      <w:pPr>
        <w:jc w:val="both"/>
      </w:pPr>
      <w:r>
        <w:rPr>
          <w:highlight w:val="yellow"/>
        </w:rPr>
        <w:t xml:space="preserve">Esa interrupción explica una divergencia que de otra manera resultaría inexplicable. En 2021 el mercado publicitario español creció un 11,8 % y la inversión del sector cayó un 14,2 %: veintiséis puntos de distancia en un solo ejercicio, y el ejercicio en el que el sector perdió el </w:t>
      </w:r>
      <w:r>
        <w:t xml:space="preserve"> primer puesto que ocupaba desde 2017. N</w:t>
      </w:r>
      <w:r>
        <w:rPr>
          <w:highlight w:val="yellow"/>
        </w:rPr>
        <w:t xml:space="preserve">o acompañó a la recuperación posterior a 2020; se descolgó de ella. </w:t>
      </w:r>
    </w:p>
    <w:p>
      <w:pPr>
        <w:pStyle w:val="Heading2"/>
      </w:pPr>
      <w:r>
        <w:t>[P31] 7.4.EL REPARTO DE LA INVERSIÓN DEL SECTOR POR MEDIOS Y EL PESO DEL MED — v2 pág. 32 — 100 % IA</w:t>
      </w:r>
    </w:p>
    <w:p>
      <w:r>
        <w:t>Mínimo alcanzado en las otras versiones: v11 (38 % IA) con 100 % (similitud 0.86).</w:t>
      </w:r>
    </w:p>
    <w:p>
      <w:pPr>
        <w:jc w:val="both"/>
      </w:pPr>
      <w:r>
        <w:rPr>
          <w:highlight w:val="yellow"/>
        </w:rPr>
        <w:t xml:space="preserve">El año 2018 ofrece un segundo punto de observación parcial: la televisión concentra 271,5 millones, el 47,7 % del total sectorial y el 63,4 % de su inversión convencional. A pesar del crecimiento del medio digital en el intervalo, mantiene la primera posición del mix convencional y consolida su peso relativo. </w:t>
      </w:r>
    </w:p>
    <w:p>
      <w:pPr>
        <w:pStyle w:val="Heading2"/>
      </w:pPr>
      <w:r>
        <w:t>[P32] 8.CONCLUSIONES — v2 pág. 41 — 56 % IA</w:t>
      </w:r>
    </w:p>
    <w:p>
      <w:r>
        <w:t>Mínimo alcanzado en las otras versiones: v11 (38 % IA) con 56 % (similitud 0.84).</w:t>
      </w:r>
    </w:p>
    <w:p>
      <w:pPr>
        <w:jc w:val="both"/>
      </w:pPr>
      <w:r>
        <w:t>Otras líneas se han enfocado en los valores, los formatos y la interacción: Bonales-Daimiel y Mañas-Viniegra (2022), Bonales-Daimiel y Miguélez-Juan (2022), Bonales-Daimiel et al. (2024) y Matosas-López y Romero-Ania (2021). E</w:t>
      </w:r>
      <w:r>
        <w:rPr>
          <w:highlight w:val="yellow"/>
        </w:rPr>
        <w:t xml:space="preserve">ste trabajo se mueve en un plano distinto y complementario, el de la inversión. El vacío que identificó el estado de la cuestión queda por tanto cubierto solo en parte: se ha construido con continuidad la dimensión temporal, que era la que faltaba, pero su articulación con las demás no está resuelta. </w:t>
      </w:r>
    </w:p>
    <w:p>
      <w:pPr>
        <w:pStyle w:val="Heading2"/>
      </w:pPr>
      <w:r>
        <w:t>[P33] 6.4.FASES DE LA INVESTIGACIÓN — v2 pág. 22 — 88 % IA</w:t>
      </w:r>
    </w:p>
    <w:p>
      <w:r>
        <w:t>Mínimo alcanzado en las otras versiones: v12 bloques (46 % IA) con 0 % (similitud 1.00).</w:t>
      </w:r>
    </w:p>
    <w:p>
      <w:pPr>
        <w:jc w:val="both"/>
      </w:pPr>
      <w:r>
        <w:t>Fase 1 — Búsqueda y selección de fuentes.</w:t>
      </w:r>
      <w:r>
        <w:rPr>
          <w:highlight w:val="yellow"/>
        </w:rPr>
        <w:t xml:space="preserve"> Se trabajó en la elaboración del marco teórico y se identificaron tanto las fuentes estadísticas e institucionales de referencia (InfoAdex, AIMC, IAB Spain y PwC España, INE) como la literatura académica específica sobre automoción y transformación del ecosistema publicitario. </w:t>
      </w:r>
    </w:p>
    <w:p>
      <w:pPr>
        <w:pStyle w:val="Heading2"/>
      </w:pPr>
      <w:r>
        <w:t>[P34] 1. INTRODUCCIÓN — v2 pág. 10 — 100 % IA</w:t>
      </w:r>
    </w:p>
    <w:p>
      <w:r>
        <w:t>Mínimo alcanzado en las otras versiones: v11 (38 % IA) con 100 % (similitud 0.83).</w:t>
      </w:r>
    </w:p>
    <w:p>
      <w:pPr>
        <w:jc w:val="both"/>
      </w:pPr>
      <w:r>
        <w:rPr>
          <w:highlight w:val="yellow"/>
        </w:rPr>
        <w:t xml:space="preserve">El estudio aporta sobre todo por su carácter sectorial: permite concretar, en un ámbito con datos propios y comportamiento diferenciado, las dinámicas generales de transformación publicitaria ya descritas en la literatura (Cea Esteruelas, 2012; León Sáez de Ybarra, 2009). </w:t>
      </w:r>
    </w:p>
    <w:p>
      <w:pPr>
        <w:pStyle w:val="Heading2"/>
      </w:pPr>
      <w:r>
        <w:t>[P35] LAS SERIES — v2 pág. 25 — 79 % IA</w:t>
      </w:r>
    </w:p>
    <w:p>
      <w:r>
        <w:t>Mínimo alcanzado en las otras versiones: v11 (38 % IA) con 79 % (similitud 0.79).</w:t>
      </w:r>
    </w:p>
    <w:p>
      <w:pPr>
        <w:jc w:val="both"/>
      </w:pPr>
      <w:r>
        <w:t>La diferencia entre las dos fuentes puede medirse en 2022. E</w:t>
      </w:r>
      <w:r>
        <w:rPr>
          <w:highlight w:val="yellow"/>
        </w:rPr>
        <w:t xml:space="preserve">s el único ejercicio del periodo en el que ambas fuentes reportan search, display y redes sociales como partidas separadas y no solapadas, con datos verificados en las dos. El contraste se recoge en la Figura A1 (Anexo A). </w:t>
      </w:r>
    </w:p>
    <w:p>
      <w:pPr>
        <w:pStyle w:val="Heading2"/>
      </w:pPr>
      <w:r>
        <w:t>[P36] 8.CONCLUSIONES — v2 pág. 39 — 30 % IA</w:t>
      </w:r>
    </w:p>
    <w:p>
      <w:r>
        <w:t>Mínimo alcanzado en las otras versiones: v11 (38 % IA) con 15 % (similitud 0.80).</w:t>
      </w:r>
    </w:p>
    <w:p>
      <w:pPr>
        <w:jc w:val="both"/>
      </w:pPr>
      <w:r>
        <w:rPr>
          <w:highlight w:val="yellow"/>
        </w:rPr>
        <w:t xml:space="preserve">En el plano sectorial la respuesta es parcial, y no por insuficiencia del diseño, sino por el alcance de las fuentes. La única serie establecible desde 2014 es la del volumen de inversión, que presenta dos fases. </w:t>
      </w:r>
      <w:r>
        <w:t>Entre 2014 y 2018 crece un 51,7 %, de 375,4 a 569,3 millones de euros, y sube del segundo al primer puesto del ranking de anunciantes, posición que mantiene cuatro ejercicios. Desde 2020 la tendencia se revierte y baja hasta los 306,0 millones de 2022, un 46 % por debajo del máximo, con retroceso a la quinta posición; los 326,0 millones de 2023 apenas lo corrigen. Sobre los medios tradicionales, única base homogénea disponible, el peso del sector pasa del 11,43 % en 2016 al 7,07 % en 2021.</w:t>
      </w:r>
    </w:p>
    <w:p>
      <w:pPr>
        <w:pStyle w:val="Heading2"/>
      </w:pPr>
      <w:r>
        <w:t>[P37] 7.6.SÍNTESIS DEL CONTRASTE DE HIPÓTESIS — v2 pág. 37 — 100 % IA</w:t>
      </w:r>
    </w:p>
    <w:p>
      <w:r>
        <w:t>Mínimo alcanzado en las otras versiones: v12 final (48 % IA) con 25 % (similitud 0.24).</w:t>
      </w:r>
    </w:p>
    <w:p>
      <w:pPr>
        <w:jc w:val="both"/>
      </w:pPr>
      <w:r>
        <w:rPr>
          <w:highlight w:val="yellow"/>
        </w:rPr>
        <w:t xml:space="preserve">En este epígrafe se recogen los cuatro veredictos y se analiza el patrón que dibujan en conjunto, más informativo que cada uno por separado. Ninguna de las cuatro hipótesis queda confirmada sin matices. </w:t>
      </w:r>
    </w:p>
    <w:p>
      <w:pPr>
        <w:pStyle w:val="Heading2"/>
      </w:pPr>
      <w:r>
        <w:t>[P38] 9.LIMITACIONES Y PROSPECTIVA — v2 pág. 41 — 21 % IA</w:t>
      </w:r>
    </w:p>
    <w:p>
      <w:r>
        <w:t>Mínimo alcanzado en las otras versiones: v11 (38 % IA) con 0 % (similitud 0.92).</w:t>
      </w:r>
    </w:p>
    <w:p>
      <w:pPr>
        <w:jc w:val="both"/>
      </w:pPr>
      <w:r>
        <w:rPr>
          <w:highlight w:val="yellow"/>
        </w:rPr>
        <w:t xml:space="preserve">Los propios análisis que se han llevado a cabo, en buena medida, han puesto de relieve las limitaciones de esta investigación y, por tanto, el alcance de lo que puede afirmarse. </w:t>
      </w:r>
      <w:r>
        <w:t>La primera tiene que ver con la comparabilidad. Las dos fuentes principales miden universos diferentes con procedimientos diferentes —atribución sobre publicidad monitorizada, en un caso, estimación declarativa y econométrica, en el otro— y sus cifras difieren en un factor cercano a 1,70 para los mismos ejercicios. Separarlas y no encadenarlas ni promediarlas preserva la validez interna de cada serie, pero impide una descripción única del fenómeno, y obliga a enunciar algunos resultados, como el de la tercera hipótesis, en dependencia de la fuente. Más trabajo con los mismos materiales no lo solucionaría: es una propiedad del estado de la información publicada.</w:t>
      </w:r>
    </w:p>
    <w:p>
      <w:pPr>
        <w:pStyle w:val="Heading2"/>
      </w:pPr>
      <w:r>
        <w:t>[P39] 7.5.EL MIX DE CANALES DEL MEDIO DIGITAL Y LA POSICIÓN DEL SECTOR — v2 pág. 36 — 46 % IA</w:t>
      </w:r>
    </w:p>
    <w:p>
      <w:r>
        <w:t>Mínimo alcanzado en las otras versiones: v12 bloques (46 % IA) con 46 % (similitud 1.00).</w:t>
      </w:r>
    </w:p>
    <w:p>
      <w:pPr>
        <w:jc w:val="both"/>
      </w:pPr>
      <w:r>
        <w:rPr>
          <w:highlight w:val="yellow"/>
        </w:rPr>
        <w:t>Lo que falta es ubicar al sector en ese mercado. IAB Spain publica el porcentaje que representa cada sector sobre la inversión digital, no su distribución por canale</w:t>
      </w:r>
      <w:r>
        <w:t>s. La automoción encabeza esa clasificación entre 2017 y 2020 y desciende después: 25,3 % en 2017, 23,7 % en 2018, 15,3 % en 2020, 9,1 % en 2021 y 8,8 % en 2022, ejercicio en que pasa a la segunda posición.</w:t>
      </w:r>
    </w:p>
    <w:p>
      <w:pPr>
        <w:pStyle w:val="Heading2"/>
      </w:pPr>
      <w:r>
        <w:t>[P40] 2.1.CONCEPTUALIZACIÓN DE PUBLICIDAD Y COMUNICACIÓN COMERCIAL — v2 pág. 11 — 12 % IA</w:t>
      </w:r>
    </w:p>
    <w:p>
      <w:r>
        <w:t>Mínimo alcanzado en las otras versiones: v12 copia (53 % IA) con 93 % (similitud 1.00).</w:t>
      </w:r>
    </w:p>
    <w:p>
      <w:pPr>
        <w:jc w:val="both"/>
      </w:pPr>
      <w:r>
        <w:t>Hay que ajustar la comunicación comercial. La Ley 34/2002, de servicios de la sociedad de la información y de comercio electrónico, amplía la noción e incluye las comunicaciones orientadas directa o indirectamente a promocionar la imagen, los bienes o los servicios de una empresa, organización o persona con actividad económica o profesional (Ley 34/2002, 2002, anexo, apartado f). Lo que cambia es el objeto: mientras la Ley 34/1988 incide sobre la contratación, la Ley 34/2002 recoge expresamente la imagen. Este matiz permite nombrar prácticas promocionales, ajenas al formato clásico del anuncio, pero que siguen inscritas en una lógica de visibilidad, posicionamiento e impulso de la actividad económica. De ellas, la comunicación comercial es la categoría más amplia: comprende toda comunicación con finalidad promocional.</w:t>
      </w:r>
      <w:r>
        <w:rPr>
          <w:highlight w:val="yellow"/>
        </w:rPr>
        <w:t xml:space="preserve"> Una de sus formas es la publicidad, que opera mediante mensajes planificados y difundidos en medios de comunicación. </w:t>
      </w:r>
    </w:p>
    <w:p>
      <w:pPr>
        <w:pStyle w:val="Heading2"/>
      </w:pPr>
      <w:r>
        <w:t>[P41] LAS SERIES — v2 pág. 26 — 14 % IA</w:t>
      </w:r>
    </w:p>
    <w:p>
      <w:r>
        <w:t>Mínimo alcanzado en las otras versiones: v12 bloques (46 % IA) con 14 % (similitud 1.00).</w:t>
      </w:r>
    </w:p>
    <w:p>
      <w:pPr>
        <w:jc w:val="both"/>
      </w:pPr>
      <w:r>
        <w:rPr>
          <w:highlight w:val="yellow"/>
        </w:rPr>
        <w:t>Al descender al sector la divergencia se hace más grave, y por un motivo distinto.</w:t>
      </w:r>
      <w:r>
        <w:t xml:space="preserve"> Para 2018, la Asociación Española de Anunciantes (2019) publica una inversión de la automoción en el medio digital de 140.750.233 euros, procedente de InfoAdex. IAB Spain no ofrece esa cifra en euros, sino una cuota del 23,7 % sobre su propio total de 1.971,9 millones (IAB Spain &amp; PwC España, 2019), de la que se deduce —a través de cálculo propio, y no como dato de la fuente— una inversión de 467,3 millones: 3,3 veces la publicada por InfoAdex para el mismo sector, medio y ejercicio.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