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Levantamiento de Observaciones – Proyecto de Tesis Malpartida Bayona</w:t>
      </w:r>
    </w:p>
    <w:p>
      <w:pPr/>
      <w:r>
        <w:t xml:space="preserve">Oct 10, 2026</w:t>
      </w:r>
      <w:r>
        <w:t xml:space="preserve"> · </w:t>
      </w:r>
      <w:r>
        <w:t xml:space="preserve">@SNAVECLOUD</w:t>
      </w:r>
    </w:p>
    <w:p>
      <w:pPr>
        <w:pStyle w:val="Heading2"/>
      </w:pPr>
      <w:r>
        <w:t xml:space="preserve">1. Presentación</w:t>
      </w:r>
    </w:p>
    <w:p>
      <w:pPr/>
      <w:r>
        <w:t xml:space="preserve">Este documento responde una por una las 12 observaciones del jurado (presidente: Juan Manuel Pérez Borrero; secretario: Mg. Ing. Julio Miguel Vite, acta del 29-09-2026) al proyecto de tesis </w:t>
      </w:r>
      <w:r>
        <w:rPr>
          <w:b/>
        </w:rPr>
        <w:t xml:space="preserve">"Propuesta de diseño geométrico y estructural de una vía de evitamiento para el distrito de La Unión, provincia de Piura – región Piura"</w:t>
      </w:r>
      <w:r>
        <w:t xml:space="preserve">, de Ailton Jahir Malpartida Sandoval y Andy Rodrigo Bayona Antón (UNP, Facultad de Ingeniería Civil).</w:t>
      </w:r>
    </w:p>
    <w:p>
      <w:pPr/>
      <w:r>
        <w:t xml:space="preserve">La raíz común de casi todas las observaciones es una sola: el proyecto es una </w:t>
      </w:r>
      <w:r>
        <w:rPr>
          <w:b/>
        </w:rPr>
        <w:t xml:space="preserve">investigación aplicada de tipo proyectivo (diseño de ingeniería)</w:t>
      </w:r>
      <w:r>
        <w:t xml:space="preserve">, pero varias partes del documento están redactadas como si fuera una investigación explicativa o causal (hipótesis de efecto, preguntas de "afectación", encuestas como sustento, conclusiones anticipadas). La solución general es alinear todo el texto con la naturaleza real del estudio: preguntas de diseño, objetivos de diseño, parámetros e indicadores técnicos verificables con planos, fichas y ensayos normados.</w:t>
      </w:r>
    </w:p>
    <w:p>
      <w:pPr/>
      <w:r>
        <w:t xml:space="preserve">Para cada observación se presenta: (a) lo que dice el jurado, (b) el diagnóstico en el proyecto actual (con la ubicación exacta en el documento), (c) la solución sustentada, y (d) la redacción propuesta lista para reemplazar en la tesis. Al final se incluye el marco normativo de respaldo y un plan de acción con lista de verificación.</w:t>
      </w:r>
    </w:p>
    <w:p>
      <w:pPr>
        <w:pStyle w:val="Heading2"/>
      </w:pPr>
      <w:r>
        <w:t xml:space="preserve">2. Resumen ejecutivo</w:t>
      </w:r>
    </w:p>
    <w:p>
      <w:pPr/>
      <w:r>
        <w:t xml:space="preserve">Las 12 observaciones se resuelven con cuatro tipos de cambio: </w:t>
      </w:r>
      <w:r>
        <w:rPr>
          <w:b/>
        </w:rPr>
        <w:t xml:space="preserve">coherencia documental</w:t>
      </w:r>
      <w:r>
        <w:t xml:space="preserve"> (1, 4), </w:t>
      </w:r>
      <w:r>
        <w:rPr>
          <w:b/>
        </w:rPr>
        <w:t xml:space="preserve">reestructuración metodológica</w:t>
      </w:r>
      <w:r>
        <w:t xml:space="preserve"> (2, 3, 6, 10, 11, 12), </w:t>
      </w:r>
      <w:r>
        <w:rPr>
          <w:b/>
        </w:rPr>
        <w:t xml:space="preserve">redefinición del alcance técnico</w:t>
      </w:r>
      <w:r>
        <w:t xml:space="preserve"> (5, 7, 8) y </w:t>
      </w:r>
      <w:r>
        <w:rPr>
          <w:b/>
        </w:rPr>
        <w:t xml:space="preserve">redacción académica</w:t>
      </w:r>
      <w:r>
        <w:t xml:space="preserve"> (9). Ninguna exige cambiar el objetivo general ni el trazo; la de mayor impacto en tiempo y presupuesto es la N.° 5 (densidad de exploración geotécnica y estudios básicos completos).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w:t>
            </w:r>
          </w:p>
        </w:tc>
        <w:tc>
          <w:tcPr>
            <w:tcW w:w="1872" w:type="dxa"/>
            <w:shd w:val="clear" w:color="auto" w:fill="F2F2F2"/>
          </w:tcPr>
          <w:p>
            <w:pPr/>
            <w:r>
              <w:t xml:space="preserve">Observación del jurado</w:t>
            </w:r>
          </w:p>
        </w:tc>
        <w:tc>
          <w:tcPr>
            <w:tcW w:w="1872" w:type="dxa"/>
            <w:shd w:val="clear" w:color="auto" w:fill="F2F2F2"/>
          </w:tcPr>
          <w:p>
            <w:pPr/>
            <w:r>
              <w:t xml:space="preserve">Solución propuesta</w:t>
            </w:r>
          </w:p>
        </w:tc>
        <w:tc>
          <w:tcPr>
            <w:tcW w:w="1872" w:type="dxa"/>
            <w:shd w:val="clear" w:color="auto" w:fill="F2F2F2"/>
          </w:tcPr>
          <w:p>
            <w:pPr/>
            <w:r>
              <w:t xml:space="preserve">Sección de la tesis a corregir</w:t>
            </w:r>
          </w:p>
        </w:tc>
        <w:tc>
          <w:tcPr>
            <w:tcW w:w="1872" w:type="dxa"/>
            <w:shd w:val="clear" w:color="auto" w:fill="F2F2F2"/>
          </w:tcPr>
          <w:p>
            <w:pPr/>
            <w:r>
              <w:t xml:space="preserve">Esfuerzo</w:t>
            </w:r>
          </w:p>
        </w:tc>
      </w:tr>
      <w:tr>
        <w:tc>
          <w:tcPr>
            <w:tcW w:w="1872" w:type="dxa"/>
          </w:tcPr>
          <w:p>
            <w:pPr/>
            <w:r>
              <w:t xml:space="preserve">1</w:t>
            </w:r>
          </w:p>
        </w:tc>
        <w:tc>
          <w:tcPr>
            <w:tcW w:w="1872" w:type="dxa"/>
          </w:tcPr>
          <w:p>
            <w:pPr/>
            <w:r>
              <w:t xml:space="preserve">Título de portada distinto al de la carta del asesor</w:t>
            </w:r>
          </w:p>
        </w:tc>
        <w:tc>
          <w:tcPr>
            <w:tcW w:w="1872" w:type="dxa"/>
          </w:tcPr>
          <w:p>
            <w:pPr/>
            <w:r>
              <w:t xml:space="preserve">Adoptar el título de la portada como único y reemitir cartas de asesor y coasesora; corregir también el encabezado del cuestionario del Anexo 6.2.1</w:t>
            </w:r>
          </w:p>
        </w:tc>
        <w:tc>
          <w:tcPr>
            <w:tcW w:w="1872" w:type="dxa"/>
          </w:tcPr>
          <w:p>
            <w:pPr/>
            <w:r>
              <w:t xml:space="preserve">Portada, cartas de compromiso, Anexo 6.2.1</w:t>
            </w:r>
          </w:p>
        </w:tc>
        <w:tc>
          <w:tcPr>
            <w:tcW w:w="1872" w:type="dxa"/>
          </w:tcPr>
          <w:p>
            <w:pPr/>
            <w:r>
              <w:t xml:space="preserve">Bajo</w:t>
            </w:r>
          </w:p>
        </w:tc>
      </w:tr>
      <w:tr>
        <w:tc>
          <w:tcPr>
            <w:tcW w:w="1872" w:type="dxa"/>
          </w:tcPr>
          <w:p>
            <w:pPr/>
            <w:r>
              <w:t xml:space="preserve">2</w:t>
            </w:r>
          </w:p>
        </w:tc>
        <w:tc>
          <w:tcPr>
            <w:tcW w:w="1872" w:type="dxa"/>
          </w:tcPr>
          <w:p>
            <w:pPr/>
            <w:r>
              <w:t xml:space="preserve">Hipótesis causales no medibles; PE1 no corresponde con OE1</w:t>
            </w:r>
          </w:p>
        </w:tc>
        <w:tc>
          <w:tcPr>
            <w:tcW w:w="1872" w:type="dxa"/>
          </w:tcPr>
          <w:p>
            <w:pPr/>
            <w:r>
              <w:t xml:space="preserve">Justificar la no formulación de hipótesis (investigación proyectiva) y reemplazarlas por parámetros e indicadores técnicos de diseño; si el reglamento las exige, formular hipótesis de trabajo descriptivas verificables con planos y fichas. Reescribir PE1 como pregunta de diseño alineada con OE1</w:t>
            </w:r>
          </w:p>
        </w:tc>
        <w:tc>
          <w:tcPr>
            <w:tcW w:w="1872" w:type="dxa"/>
          </w:tcPr>
          <w:p>
            <w:pPr/>
            <w:r>
              <w:t xml:space="preserve">1.2.2, 2.5, 2.6, Tabla 5 (matriz de consistencia)</w:t>
            </w:r>
          </w:p>
        </w:tc>
        <w:tc>
          <w:tcPr>
            <w:tcW w:w="1872" w:type="dxa"/>
          </w:tcPr>
          <w:p>
            <w:pPr/>
            <w:r>
              <w:t xml:space="preserve">Medio</w:t>
            </w:r>
          </w:p>
        </w:tc>
      </w:tr>
      <w:tr>
        <w:tc>
          <w:tcPr>
            <w:tcW w:w="1872" w:type="dxa"/>
          </w:tcPr>
          <w:p>
            <w:pPr/>
            <w:r>
              <w:t xml:space="preserve">3</w:t>
            </w:r>
          </w:p>
        </w:tc>
        <w:tc>
          <w:tcPr>
            <w:tcW w:w="1872" w:type="dxa"/>
          </w:tcPr>
          <w:p>
            <w:pPr/>
            <w:r>
              <w:t xml:space="preserve">"Muestreo por conveniencia" inadecuado</w:t>
            </w:r>
          </w:p>
        </w:tc>
        <w:tc>
          <w:tcPr>
            <w:tcW w:w="1872" w:type="dxa"/>
          </w:tcPr>
          <w:p>
            <w:pPr/>
            <w:r>
              <w:t xml:space="preserve">Denominarlo muestreo no probabilístico dirigido (intencional) por criterios técnico-normativos, citando la norma que fija cada tamaño de muestra</w:t>
            </w:r>
          </w:p>
        </w:tc>
        <w:tc>
          <w:tcPr>
            <w:tcW w:w="1872" w:type="dxa"/>
          </w:tcPr>
          <w:p>
            <w:pPr/>
            <w:r>
              <w:t xml:space="preserve">3.5.2</w:t>
            </w:r>
          </w:p>
        </w:tc>
        <w:tc>
          <w:tcPr>
            <w:tcW w:w="1872" w:type="dxa"/>
          </w:tcPr>
          <w:p>
            <w:pPr/>
            <w:r>
              <w:t xml:space="preserve">Bajo</w:t>
            </w:r>
          </w:p>
        </w:tc>
      </w:tr>
      <w:tr>
        <w:tc>
          <w:tcPr>
            <w:tcW w:w="1872" w:type="dxa"/>
          </w:tcPr>
          <w:p>
            <w:pPr/>
            <w:r>
              <w:t xml:space="preserve">4</w:t>
            </w:r>
          </w:p>
        </w:tc>
        <w:tc>
          <w:tcPr>
            <w:tcW w:w="1872" w:type="dxa"/>
          </w:tcPr>
          <w:p>
            <w:pPr/>
            <w:r>
              <w:t xml:space="preserve">Formato APA 7 de figuras y tablas; antecedentes como resúmenes</w:t>
            </w:r>
          </w:p>
        </w:tc>
        <w:tc>
          <w:tcPr>
            <w:tcW w:w="1872" w:type="dxa"/>
          </w:tcPr>
          <w:p>
            <w:pPr/>
            <w:r>
              <w:t xml:space="preserve">Aplicar el formato número en negrita, título en cursiva, imagen y Nota; reescribir cada antecedente con la estructura autor/año, lugar, problema, metodología, resultados y aporte</w:t>
            </w:r>
          </w:p>
        </w:tc>
        <w:tc>
          <w:tcPr>
            <w:tcW w:w="1872" w:type="dxa"/>
          </w:tcPr>
          <w:p>
            <w:pPr/>
            <w:r>
              <w:t xml:space="preserve">Figuras 1 a 11, Tablas 1 a 5, 2.1</w:t>
            </w:r>
          </w:p>
        </w:tc>
        <w:tc>
          <w:tcPr>
            <w:tcW w:w="1872" w:type="dxa"/>
          </w:tcPr>
          <w:p>
            <w:pPr/>
            <w:r>
              <w:t xml:space="preserve">Medio</w:t>
            </w:r>
          </w:p>
        </w:tc>
      </w:tr>
      <w:tr>
        <w:tc>
          <w:tcPr>
            <w:tcW w:w="1872" w:type="dxa"/>
          </w:tcPr>
          <w:p>
            <w:pPr/>
            <w:r>
              <w:t xml:space="preserve">5</w:t>
            </w:r>
          </w:p>
        </w:tc>
        <w:tc>
          <w:tcPr>
            <w:tcW w:w="1872" w:type="dxa"/>
          </w:tcPr>
          <w:p>
            <w:pPr/>
            <w:r>
              <w:t xml:space="preserve">Delimitación excluye estudios y diseños que la normativa exige</w:t>
            </w:r>
          </w:p>
        </w:tc>
        <w:tc>
          <w:tcPr>
            <w:tcW w:w="1872" w:type="dxa"/>
          </w:tcPr>
          <w:p>
            <w:pPr/>
            <w:r>
              <w:t xml:space="preserve">Redactar la delimitación en positivo (qué se hace y a qué nivel), incluir todos los estudios básicos con densidades normadas (calicatas, CBR, canteras, hidrología) y el diseño completo de la vía y sus elementos; reservar el predimensionamiento solo para obras de arte mayores</w:t>
            </w:r>
          </w:p>
        </w:tc>
        <w:tc>
          <w:tcPr>
            <w:tcW w:w="1872" w:type="dxa"/>
          </w:tcPr>
          <w:p>
            <w:pPr/>
            <w:r>
              <w:t xml:space="preserve">1.5, 3.5.2, 3.6.3, 4.2 (presupuesto)</w:t>
            </w:r>
          </w:p>
        </w:tc>
        <w:tc>
          <w:tcPr>
            <w:tcW w:w="1872" w:type="dxa"/>
          </w:tcPr>
          <w:p>
            <w:pPr/>
            <w:r>
              <w:t xml:space="preserve">Alto</w:t>
            </w:r>
          </w:p>
        </w:tc>
      </w:tr>
      <w:tr>
        <w:tc>
          <w:tcPr>
            <w:tcW w:w="1872" w:type="dxa"/>
          </w:tcPr>
          <w:p>
            <w:pPr/>
            <w:r>
              <w:t xml:space="preserve">6</w:t>
            </w:r>
          </w:p>
        </w:tc>
        <w:tc>
          <w:tcPr>
            <w:tcW w:w="1872" w:type="dxa"/>
          </w:tcPr>
          <w:p>
            <w:pPr/>
            <w:r>
              <w:t xml:space="preserve">Preguntas sin coherencia con título, objetivos y realidad problemática</w:t>
            </w:r>
          </w:p>
        </w:tc>
        <w:tc>
          <w:tcPr>
            <w:tcW w:w="1872" w:type="dxa"/>
          </w:tcPr>
          <w:p>
            <w:pPr/>
            <w:r>
              <w:t xml:space="preserve">Reescribir las siete preguntas específicas en paralelo exacto con los siete objetivos específicos (misma variable, mismo verbo, mismo entregable)</w:t>
            </w:r>
          </w:p>
        </w:tc>
        <w:tc>
          <w:tcPr>
            <w:tcW w:w="1872" w:type="dxa"/>
          </w:tcPr>
          <w:p>
            <w:pPr/>
            <w:r>
              <w:t xml:space="preserve">1.2, Tabla 5</w:t>
            </w:r>
          </w:p>
        </w:tc>
        <w:tc>
          <w:tcPr>
            <w:tcW w:w="1872" w:type="dxa"/>
          </w:tcPr>
          <w:p>
            <w:pPr/>
            <w:r>
              <w:t xml:space="preserve">Medio</w:t>
            </w:r>
          </w:p>
        </w:tc>
      </w:tr>
      <w:tr>
        <w:tc>
          <w:tcPr>
            <w:tcW w:w="1872" w:type="dxa"/>
          </w:tcPr>
          <w:p>
            <w:pPr/>
            <w:r>
              <w:t xml:space="preserve">7</w:t>
            </w:r>
          </w:p>
        </w:tc>
        <w:tc>
          <w:tcPr>
            <w:tcW w:w="1872" w:type="dxa"/>
          </w:tcPr>
          <w:p>
            <w:pPr/>
            <w:r>
              <w:t xml:space="preserve">Clasificación como Carretera de Primera Clase requiere revisión técnica</w:t>
            </w:r>
          </w:p>
        </w:tc>
        <w:tc>
          <w:tcPr>
            <w:tcW w:w="1872" w:type="dxa"/>
          </w:tcPr>
          <w:p>
            <w:pPr/>
            <w:r>
              <w:t xml:space="preserve">Mantenerla como clasificación preliminar y fijar la definitiva con el IMDA proyectado al año horizonte, obtenido del conteo de 7 días y la encuesta origen-destino; dejar prevista la regla de decisión si el IMDA supera 4,000 veh/día</w:t>
            </w:r>
          </w:p>
        </w:tc>
        <w:tc>
          <w:tcPr>
            <w:tcW w:w="1872" w:type="dxa"/>
          </w:tcPr>
          <w:p>
            <w:pPr/>
            <w:r>
              <w:t xml:space="preserve">1.5, 2.2.3, 3.6.1</w:t>
            </w:r>
          </w:p>
        </w:tc>
        <w:tc>
          <w:tcPr>
            <w:tcW w:w="1872" w:type="dxa"/>
          </w:tcPr>
          <w:p>
            <w:pPr/>
            <w:r>
              <w:t xml:space="preserve">Medio</w:t>
            </w:r>
          </w:p>
        </w:tc>
      </w:tr>
      <w:tr>
        <w:tc>
          <w:tcPr>
            <w:tcW w:w="1872" w:type="dxa"/>
          </w:tcPr>
          <w:p>
            <w:pPr/>
            <w:r>
              <w:t xml:space="preserve">8</w:t>
            </w:r>
          </w:p>
        </w:tc>
        <w:tc>
          <w:tcPr>
            <w:tcW w:w="1872" w:type="dxa"/>
          </w:tcPr>
          <w:p>
            <w:pPr/>
            <w:r>
              <w:t xml:space="preserve">Diferencia entre alcance y objetivo de obras de arte</w:t>
            </w:r>
          </w:p>
        </w:tc>
        <w:tc>
          <w:tcPr>
            <w:tcW w:w="1872" w:type="dxa"/>
          </w:tcPr>
          <w:p>
            <w:pPr/>
            <w:r>
              <w:t xml:space="preserve">Renombrar el entregable como "predimensionamiento conceptual y geométrico" en objetivo, pregunta, delimitación y matriz</w:t>
            </w:r>
          </w:p>
        </w:tc>
        <w:tc>
          <w:tcPr>
            <w:tcW w:w="1872" w:type="dxa"/>
          </w:tcPr>
          <w:p>
            <w:pPr/>
            <w:r>
              <w:t xml:space="preserve">1.2.2, 1.4.2, 1.5, 2.5</w:t>
            </w:r>
          </w:p>
        </w:tc>
        <w:tc>
          <w:tcPr>
            <w:tcW w:w="1872" w:type="dxa"/>
          </w:tcPr>
          <w:p>
            <w:pPr/>
            <w:r>
              <w:t xml:space="preserve">Bajo</w:t>
            </w:r>
          </w:p>
        </w:tc>
      </w:tr>
      <w:tr>
        <w:tc>
          <w:tcPr>
            <w:tcW w:w="1872" w:type="dxa"/>
          </w:tcPr>
          <w:p>
            <w:pPr/>
            <w:r>
              <w:t xml:space="preserve">9</w:t>
            </w:r>
          </w:p>
        </w:tc>
        <w:tc>
          <w:tcPr>
            <w:tcW w:w="1872" w:type="dxa"/>
          </w:tcPr>
          <w:p>
            <w:pPr/>
            <w:r>
              <w:t xml:space="preserve">Justificación con conclusiones anticipadas</w:t>
            </w:r>
          </w:p>
        </w:tc>
        <w:tc>
          <w:tcPr>
            <w:tcW w:w="1872" w:type="dxa"/>
          </w:tcPr>
          <w:p>
            <w:pPr/>
            <w:r>
              <w:t xml:space="preserve">Sustituir "beneficios irrefutables", "erradicar", "eliminar la exposición" por formulaciones condicionales y referenciadas</w:t>
            </w:r>
          </w:p>
        </w:tc>
        <w:tc>
          <w:tcPr>
            <w:tcW w:w="1872" w:type="dxa"/>
          </w:tcPr>
          <w:p>
            <w:pPr/>
            <w:r>
              <w:t xml:space="preserve">1.1, 1.3</w:t>
            </w:r>
          </w:p>
        </w:tc>
        <w:tc>
          <w:tcPr>
            <w:tcW w:w="1872" w:type="dxa"/>
          </w:tcPr>
          <w:p>
            <w:pPr/>
            <w:r>
              <w:t xml:space="preserve">Bajo</w:t>
            </w:r>
          </w:p>
        </w:tc>
      </w:tr>
      <w:tr>
        <w:tc>
          <w:tcPr>
            <w:tcW w:w="1872" w:type="dxa"/>
          </w:tcPr>
          <w:p>
            <w:pPr/>
            <w:r>
              <w:t xml:space="preserve">10</w:t>
            </w:r>
          </w:p>
        </w:tc>
        <w:tc>
          <w:tcPr>
            <w:tcW w:w="1872" w:type="dxa"/>
          </w:tcPr>
          <w:p>
            <w:pPr/>
            <w:r>
              <w:t xml:space="preserve">Indicadores que no corresponden a instrumentos de encuesta</w:t>
            </w:r>
          </w:p>
        </w:tc>
        <w:tc>
          <w:tcPr>
            <w:tcW w:w="1872" w:type="dxa"/>
          </w:tcPr>
          <w:p>
            <w:pPr/>
            <w:r>
              <w:t xml:space="preserve">Dejar en la matriz de operacionalización solo instrumentos técnicos (planos, fichas de verificación normativa, ensayos); retirar la encuesta como instrumento de cualquier indicador de diseño</w:t>
            </w:r>
          </w:p>
        </w:tc>
        <w:tc>
          <w:tcPr>
            <w:tcW w:w="1872" w:type="dxa"/>
          </w:tcPr>
          <w:p>
            <w:pPr/>
            <w:r>
              <w:t xml:space="preserve">2.6, 3.1, 3.7</w:t>
            </w:r>
          </w:p>
        </w:tc>
        <w:tc>
          <w:tcPr>
            <w:tcW w:w="1872" w:type="dxa"/>
          </w:tcPr>
          <w:p>
            <w:pPr/>
            <w:r>
              <w:t xml:space="preserve">Medio</w:t>
            </w:r>
          </w:p>
        </w:tc>
      </w:tr>
      <w:tr>
        <w:tc>
          <w:tcPr>
            <w:tcW w:w="1872" w:type="dxa"/>
          </w:tcPr>
          <w:p>
            <w:pPr/>
            <w:r>
              <w:t xml:space="preserve">11</w:t>
            </w:r>
          </w:p>
        </w:tc>
        <w:tc>
          <w:tcPr>
            <w:tcW w:w="1872" w:type="dxa"/>
          </w:tcPr>
          <w:p>
            <w:pPr/>
            <w:r>
              <w:t xml:space="preserve">Población y muestra mezclan unidades de análisis</w:t>
            </w:r>
          </w:p>
        </w:tc>
        <w:tc>
          <w:tcPr>
            <w:tcW w:w="1872" w:type="dxa"/>
          </w:tcPr>
          <w:p>
            <w:pPr/>
            <w:r>
              <w:t xml:space="preserve">Definir una población y una muestra por componente (tránsito, franja de terreno, microcuencas) y separar las instituciones educativas como unidad del diagnóstico social complementario</w:t>
            </w:r>
          </w:p>
        </w:tc>
        <w:tc>
          <w:tcPr>
            <w:tcW w:w="1872" w:type="dxa"/>
          </w:tcPr>
          <w:p>
            <w:pPr/>
            <w:r>
              <w:t xml:space="preserve">3.5</w:t>
            </w:r>
          </w:p>
        </w:tc>
        <w:tc>
          <w:tcPr>
            <w:tcW w:w="1872" w:type="dxa"/>
          </w:tcPr>
          <w:p>
            <w:pPr/>
            <w:r>
              <w:t xml:space="preserve">Medio</w:t>
            </w:r>
          </w:p>
        </w:tc>
      </w:tr>
      <w:tr>
        <w:tc>
          <w:tcPr>
            <w:tcW w:w="1872" w:type="dxa"/>
          </w:tcPr>
          <w:p>
            <w:pPr/>
            <w:r>
              <w:t xml:space="preserve">12</w:t>
            </w:r>
          </w:p>
        </w:tc>
        <w:tc>
          <w:tcPr>
            <w:tcW w:w="1872" w:type="dxa"/>
          </w:tcPr>
          <w:p>
            <w:pPr/>
            <w:r>
              <w:t xml:space="preserve">La encuesta no puede ser fundamento del diseño estructural</w:t>
            </w:r>
          </w:p>
        </w:tc>
        <w:tc>
          <w:tcPr>
            <w:tcW w:w="1872" w:type="dxa"/>
          </w:tcPr>
          <w:p>
            <w:pPr/>
            <w:r>
              <w:t xml:space="preserve">Declarar que el diseño se fundamenta en tránsito, topografía, geotecnia, hidrología y normativa; la encuesta institucional queda solo como evidencia de la realidad problemática y la encuesta origen-destino como técnica del estudio de tráfico</w:t>
            </w:r>
          </w:p>
        </w:tc>
        <w:tc>
          <w:tcPr>
            <w:tcW w:w="1872" w:type="dxa"/>
          </w:tcPr>
          <w:p>
            <w:pPr/>
            <w:r>
              <w:t xml:space="preserve">1.1, 3.1, 3.7, Anexo 6.2</w:t>
            </w:r>
          </w:p>
        </w:tc>
        <w:tc>
          <w:tcPr>
            <w:tcW w:w="1872" w:type="dxa"/>
          </w:tcPr>
          <w:p>
            <w:pPr/>
            <w:r>
              <w:t xml:space="preserve">Bajo</w:t>
            </w:r>
          </w:p>
        </w:tc>
      </w:tr>
    </w:tbl>
    <w:p>
      <w:pPr>
        <w:pStyle w:val="Heading2"/>
      </w:pPr>
      <w:r>
        <w:t xml:space="preserve">3. Levantamiento detallado de observaciones</w:t>
      </w:r>
    </w:p>
    <w:p>
      <w:pPr>
        <w:pStyle w:val="Heading3"/>
      </w:pPr>
      <w:r>
        <w:t xml:space="preserve">Observación 1. Inconsistencia entre el título y la carta del asesor</w:t>
      </w:r>
    </w:p>
    <w:p>
      <w:pPr/>
      <w:r>
        <w:rPr>
          <w:b/>
        </w:rPr>
        <w:t xml:space="preserve">Lo que dice el jurado.</w:t>
      </w:r>
      <w:r>
        <w:t xml:space="preserve"> La portada usa "Propuesta de diseño geométrico y estructural de una vía de evitamiento para el distrito de La Unión, provincia de Piura – región Piura" y la carta de compromiso del asesor usa "Propuesta de diseño de una vía de evitamiento en la ciudad de La Unión, distrito La Unión - Región Piura".</w:t>
      </w:r>
    </w:p>
    <w:p>
      <w:pPr/>
      <w:r>
        <w:rPr>
          <w:b/>
        </w:rPr>
        <w:t xml:space="preserve">Diagnóstico.</w:t>
      </w:r>
      <w:r>
        <w:t xml:space="preserve"> El título antiguo aparece en tres lugares: la carta del asesor (Mg. Ing. Gouro Mogollón), la carta de la coasesora (Dra. Ing. Augusto Vílchez) y el encabezado del cuestionario del Anexo 6.2.1 ("Estudio de Tesis: Propuesta de diseño de una vía de evitamiento en la ciudad de La Unión..."). La matriz de consistencia (Tabla 5) ya usa el título nuevo.</w:t>
      </w:r>
    </w:p>
    <w:p>
      <w:pPr/>
      <w:r>
        <w:rPr>
          <w:b/>
        </w:rPr>
        <w:t xml:space="preserve">Solución.</w:t>
      </w:r>
      <w:r>
        <w:t xml:space="preserve"> Conservar el título de la portada, porque es el que corresponde al objetivo general (diseño geométrico y estructural) y a la unidad política correcta (distrito, no ciudad). Luego:</w:t>
      </w:r>
    </w:p>
    <w:p>
      <w:pPr>
        <w:pStyle w:val="ListParagraph"/>
        <w:numPr>
          <w:ilvl w:val="0"/>
          <w:numId w:val="2"/>
        </w:numPr>
      </w:pPr>
      <w:r>
        <w:t xml:space="preserve">Reemitir la carta del asesor y la de la coasesora con el título exacto de la portada, con fecha posterior a la de las observaciones.</w:t>
      </w:r>
    </w:p>
    <w:p>
      <w:pPr>
        <w:pStyle w:val="ListParagraph"/>
        <w:numPr>
          <w:ilvl w:val="0"/>
          <w:numId w:val="2"/>
        </w:numPr>
      </w:pPr>
      <w:r>
        <w:t xml:space="preserve">Corregir el encabezado del cuestionario del Anexo 6.2.1 y el de la encuesta origen-destino del Anexo 6.2.2.</w:t>
      </w:r>
    </w:p>
    <w:p>
      <w:pPr>
        <w:pStyle w:val="ListParagraph"/>
        <w:numPr>
          <w:ilvl w:val="0"/>
          <w:numId w:val="2"/>
        </w:numPr>
      </w:pPr>
      <w:r>
        <w:t xml:space="preserve">Hacer una búsqueda en todo el archivo de las cadenas "ciudad de La Unión" y "Propuesta de diseño de una vía" para confirmar que no queda ninguna versión antigua.</w:t>
      </w:r>
    </w:p>
    <w:p>
      <w:pPr/>
      <w:r>
        <w:rPr>
          <w:b/>
        </w:rPr>
        <w:t xml:space="preserve">Título único a usar en todo el documento:</w:t>
      </w:r>
      <w:r>
        <w:t xml:space="preserve"> Propuesta de diseño geométrico y estructural de una vía de evitamiento para el distrito de La Unión, provincia de Piura – región Piura.</w:t>
      </w:r>
    </w:p>
    <w:p>
      <w:pPr>
        <w:pStyle w:val="Heading3"/>
      </w:pPr>
      <w:r>
        <w:t xml:space="preserve">Observación 2. Hipótesis y correspondencia entre PE1 y OE1</w:t>
      </w:r>
    </w:p>
    <w:p>
      <w:pPr/>
      <w:r>
        <w:rPr>
          <w:b/>
        </w:rPr>
        <w:t xml:space="preserve">Lo que dice el jurado.</w:t>
      </w:r>
      <w:r>
        <w:t xml:space="preserve"> Las preguntas son de diseño, no de contrastación causal; las hipótesis prometen efectos ("garantizará", "reducirá", "mejorará significativamente") que no serán medidos. Debe justificarse si la investigación necesita hipótesis; si no, estructurarla con preguntas, objetivos, parámetros e indicadores técnicos. Además, PE1 pregunta por afectación a seguridad, ambiente y fluidez, mientras OE1 mide tránsito (IMDA, FHP, LOS, ESAL).</w:t>
      </w:r>
    </w:p>
    <w:p>
      <w:pPr/>
      <w:r>
        <w:rPr>
          <w:b/>
        </w:rPr>
        <w:t xml:space="preserve">Diagnóstico.</w:t>
      </w:r>
      <w:r>
        <w:t xml:space="preserve"> La hipótesis general (2.5.1) y las específicas 1 y 7 afirman resultados operativos futuros (LOS de B o C, reducción de accidentes y emisiones, reducción "significativa" de puntos de conflicto) que un proyecto de diseño no puede contrastar: la vía no se construirá durante la tesis. Las hipótesis 2 a 6 sí contienen valores verificables (pendiente ≤ 4 %, espesor 55 a 85 cm, R mín &gt; 250 m, DVP &gt; 130 m), pero mezclan predicción con cumplimiento normativo. Hay además una inconsistencia interna: la hipótesis general dice radios mayores a 300 m y la específica 4 dice mayores a 250 m. El diseño metodológico (3.2) ya declara que el estudio es proyectivo y no experimental, lo que contradice tener hipótesis causales.</w:t>
      </w:r>
    </w:p>
    <w:p>
      <w:pPr/>
      <w:r>
        <w:rPr>
          <w:b/>
        </w:rPr>
        <w:t xml:space="preserve">Sustento metodológico.</w:t>
      </w:r>
      <w:r>
        <w:t xml:space="preserve"> Hernández-Sampieri y Mendoza (2018) señalan que no todas las investigaciones cuantitativas formulan hipótesis: los estudios de alcance descriptivo solo las formulan cuando pronostican un hecho o valor, y los estudios cuyo producto es una propuesta se estructuran por objetivos. Hurtado de Barrera (2010) define la investigación proyectiva como aquella que elabora una propuesta o modelo como solución a un problema práctico, y precisa que en ella la hipótesis no es obligatoria porque no se contrasta una relación entre variables sino que se verifica el cumplimiento de criterios de diseño. En ingeniería vial, la "contrastación" real es la verificación de cada parámetro de proyecto contra el umbral del Manual de Carreteras DG-2018 y del Manual de Suelos, Geología, Geotecnia y Pavimentos.</w:t>
      </w:r>
    </w:p>
    <w:p>
      <w:pPr/>
      <w:r>
        <w:rPr>
          <w:b/>
        </w:rPr>
        <w:t xml:space="preserve">Solución recomendada (opción A).</w:t>
      </w:r>
      <w:r>
        <w:t xml:space="preserve"> Sustituir la sección 2.5 por un párrafo de justificación y una tabla de parámetros e indicadores técnicos de diseño con su criterio de verificación. En la matriz de consistencia, la columna "Hipótesis" pasa a llamarse "Parámetros y criterios de verificación". Redacción propuesta para 2.5:</w:t>
      </w:r>
    </w:p>
    <w:p>
      <w:pPr>
        <w:pStyle w:val="Quote"/>
      </w:pPr>
      <w:r>
        <w:rPr>
          <w:b/>
        </w:rPr>
        <w:t xml:space="preserve">2.5 Hipótesis.</w:t>
      </w:r>
      <w:r>
        <w:t xml:space="preserve"> La presente investigación es de tipo aplicada y de diseño proyectivo, con nivel descriptivo-propositivo y diseño no experimental (secciones 3.2 a 3.4). Su propósito es elaborar una propuesta de ingeniería y no contrastar relaciones causales o asociativas entre variables; por ello, de acuerdo con Hernández-Sampieri y Mendoza (2018) y Hurtado de Barrera (2010), no se formulan hipótesis de investigación. En su lugar, la validez de la propuesta se verifica mediante parámetros e indicadores técnicos de diseño, cuyos umbrales están fijados por la normativa del MTC (DG-2018; Manual de Suelos, Geología, Geotecnia y Pavimentos, 2014; Manual de Hidrología, Hidráulica y Drenaje, 2011; Manual de Dispositivos de Control del Tránsito, 2024) y por la metodología AASHTO 93. La Tabla 2 (operacionalización) establece, para cada indicador, el umbral normativo, el instrumento de verificación y la evidencia que permite aceptar o rechazar el cumplimiento.</w:t>
      </w:r>
    </w:p>
    <w:p>
      <w:pPr/>
      <w:r>
        <w:rPr>
          <w:b/>
        </w:rPr>
        <w:t xml:space="preserve">Solución alternativa (opción B), solo si el Reglamento de Tesis de la UNP exige hipótesis.</w:t>
      </w:r>
      <w:r>
        <w:t xml:space="preserve"> Formular hipótesis de trabajo descriptivas, de cumplimiento normativo, sin verbos de efecto. Cada una debe nombrar el parámetro, el umbral y el instrumento con el que se verifica: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Hipótesis de trabajo (opción B)</w:t>
            </w:r>
          </w:p>
        </w:tc>
        <w:tc>
          <w:tcPr>
            <w:tcW w:w="3120" w:type="dxa"/>
            <w:shd w:val="clear" w:color="auto" w:fill="F2F2F2"/>
          </w:tcPr>
          <w:p>
            <w:pPr/>
            <w:r>
              <w:t xml:space="preserve">Indicador y umbral</w:t>
            </w:r>
          </w:p>
        </w:tc>
        <w:tc>
          <w:tcPr>
            <w:tcW w:w="3120" w:type="dxa"/>
            <w:shd w:val="clear" w:color="auto" w:fill="F2F2F2"/>
          </w:tcPr>
          <w:p>
            <w:pPr/>
            <w:r>
              <w:t xml:space="preserve">Instrumento de verificación</w:t>
            </w:r>
          </w:p>
        </w:tc>
      </w:tr>
      <w:tr>
        <w:tc>
          <w:tcPr>
            <w:tcW w:w="3120" w:type="dxa"/>
          </w:tcPr>
          <w:p>
            <w:pPr/>
            <w:r>
              <w:t xml:space="preserve">HG: La propuesta de diseño geométrico y estructural de la vía de evitamiento cumple los parámetros de la DG-2018 para la clase de carretera definida por el IMDA proyectado y los espesores mínimos de AASHTO 93 para el ESAL de diseño</w:t>
            </w:r>
          </w:p>
        </w:tc>
        <w:tc>
          <w:tcPr>
            <w:tcW w:w="3120" w:type="dxa"/>
          </w:tcPr>
          <w:p>
            <w:pPr/>
            <w:r>
              <w:t xml:space="preserve">100 % de parámetros dentro del umbral normativo</w:t>
            </w:r>
          </w:p>
        </w:tc>
        <w:tc>
          <w:tcPr>
            <w:tcW w:w="3120" w:type="dxa"/>
          </w:tcPr>
          <w:p>
            <w:pPr/>
            <w:r>
              <w:t xml:space="preserve">Ficha de verificación normativa; planos</w:t>
            </w:r>
          </w:p>
        </w:tc>
      </w:tr>
      <w:tr>
        <w:tc>
          <w:tcPr>
            <w:tcW w:w="3120" w:type="dxa"/>
          </w:tcPr>
          <w:p>
            <w:pPr/>
            <w:r>
              <w:t xml:space="preserve">HE1: El tránsito proyectado al año horizonte de la vía se ubica en el rango de Carretera de Primera Clase (2,001 a 4,000 veh/día)</w:t>
            </w:r>
          </w:p>
        </w:tc>
        <w:tc>
          <w:tcPr>
            <w:tcW w:w="3120" w:type="dxa"/>
          </w:tcPr>
          <w:p>
            <w:pPr/>
            <w:r>
              <w:t xml:space="preserve">IMDA proyectado (veh/día)</w:t>
            </w:r>
          </w:p>
        </w:tc>
        <w:tc>
          <w:tcPr>
            <w:tcW w:w="3120" w:type="dxa"/>
          </w:tcPr>
          <w:p>
            <w:pPr/>
            <w:r>
              <w:t xml:space="preserve">Conteo clasificado de 7 días, encuesta origen-destino, proyección</w:t>
            </w:r>
          </w:p>
        </w:tc>
      </w:tr>
      <w:tr>
        <w:tc>
          <w:tcPr>
            <w:tcW w:w="3120" w:type="dxa"/>
          </w:tcPr>
          <w:p>
            <w:pPr/>
            <w:r>
              <w:t xml:space="preserve">HE2: La rasante se desarrolla con pendientes longitudinales menores o iguales a la máxima normada para orografía tipo 1 y respeta las cotas de fondo de los canales interceptados</w:t>
            </w:r>
          </w:p>
        </w:tc>
        <w:tc>
          <w:tcPr>
            <w:tcW w:w="3120" w:type="dxa"/>
          </w:tcPr>
          <w:p>
            <w:pPr/>
            <w:r>
              <w:t xml:space="preserve">Pendiente ≤ pendiente máxima (Tabla 303.01, DG-2018)</w:t>
            </w:r>
          </w:p>
        </w:tc>
        <w:tc>
          <w:tcPr>
            <w:tcW w:w="3120" w:type="dxa"/>
          </w:tcPr>
          <w:p>
            <w:pPr/>
            <w:r>
              <w:t xml:space="preserve">Perfil longitudinal; catálogo de cruces</w:t>
            </w:r>
          </w:p>
        </w:tc>
      </w:tr>
      <w:tr>
        <w:tc>
          <w:tcPr>
            <w:tcW w:w="3120" w:type="dxa"/>
          </w:tcPr>
          <w:p>
            <w:pPr/>
            <w:r>
              <w:t xml:space="preserve">HE3: La estructura del pavimento flexible resultante de AASHTO 93 para el ESAL de 20 años y el CBR de diseño cumple los espesores mínimos por capa del MTC</w:t>
            </w:r>
          </w:p>
        </w:tc>
        <w:tc>
          <w:tcPr>
            <w:tcW w:w="3120" w:type="dxa"/>
          </w:tcPr>
          <w:p>
            <w:pPr/>
            <w:r>
              <w:t xml:space="preserve">SN de proyecto ≥ SN requerido; espesores ≥ mínimos</w:t>
            </w:r>
          </w:p>
        </w:tc>
        <w:tc>
          <w:tcPr>
            <w:tcW w:w="3120" w:type="dxa"/>
          </w:tcPr>
          <w:p>
            <w:pPr/>
            <w:r>
              <w:t xml:space="preserve">Memoria de cálculo; informe de suelos</w:t>
            </w:r>
          </w:p>
        </w:tc>
      </w:tr>
      <w:tr>
        <w:tc>
          <w:tcPr>
            <w:tcW w:w="3120" w:type="dxa"/>
          </w:tcPr>
          <w:p>
            <w:pPr/>
            <w:r>
              <w:t xml:space="preserve">HE4: Los elementos de planta, perfil y sección cumplen los mínimos de la DG-2018 para la velocidad de diseño adoptada</w:t>
            </w:r>
          </w:p>
        </w:tc>
        <w:tc>
          <w:tcPr>
            <w:tcW w:w="3120" w:type="dxa"/>
          </w:tcPr>
          <w:p>
            <w:pPr/>
            <w:r>
              <w:t xml:space="preserve">R ≥ R mín; DVP ≥ valor tabulado; anchos ≥ mínimos</w:t>
            </w:r>
          </w:p>
        </w:tc>
        <w:tc>
          <w:tcPr>
            <w:tcW w:w="3120" w:type="dxa"/>
          </w:tcPr>
          <w:p>
            <w:pPr/>
            <w:r>
              <w:t xml:space="preserve">Planos; ficha de verificación</w:t>
            </w:r>
          </w:p>
        </w:tc>
      </w:tr>
      <w:tr>
        <w:tc>
          <w:tcPr>
            <w:tcW w:w="3120" w:type="dxa"/>
          </w:tcPr>
          <w:p>
            <w:pPr/>
            <w:r>
              <w:t xml:space="preserve">HE5: Las cunetas y alcantarillas de alivio tienen capacidad hidráulica mayor o igual al caudal de diseño del Método Racional para el periodo de retorno normado</w:t>
            </w:r>
          </w:p>
        </w:tc>
        <w:tc>
          <w:tcPr>
            <w:tcW w:w="3120" w:type="dxa"/>
          </w:tcPr>
          <w:p>
            <w:pPr/>
            <w:r>
              <w:t xml:space="preserve">Q capacidad ≥ Q diseño</w:t>
            </w:r>
          </w:p>
        </w:tc>
        <w:tc>
          <w:tcPr>
            <w:tcW w:w="3120" w:type="dxa"/>
          </w:tcPr>
          <w:p>
            <w:pPr/>
            <w:r>
              <w:t xml:space="preserve">Memoria hidrológica e hidráulica</w:t>
            </w:r>
          </w:p>
        </w:tc>
      </w:tr>
      <w:tr>
        <w:tc>
          <w:tcPr>
            <w:tcW w:w="3120" w:type="dxa"/>
          </w:tcPr>
          <w:p>
            <w:pPr/>
            <w:r>
              <w:t xml:space="preserve">HE6: El predimensionamiento geométrico de las obras de arte mayores es compatible con la rasante, el galíbo y la sección hidráulica de los cauces cruzados</w:t>
            </w:r>
          </w:p>
        </w:tc>
        <w:tc>
          <w:tcPr>
            <w:tcW w:w="3120" w:type="dxa"/>
          </w:tcPr>
          <w:p>
            <w:pPr/>
            <w:r>
              <w:t xml:space="preserve">Galíbo y luz ≥ valores requeridos</w:t>
            </w:r>
          </w:p>
        </w:tc>
        <w:tc>
          <w:tcPr>
            <w:tcW w:w="3120" w:type="dxa"/>
          </w:tcPr>
          <w:p>
            <w:pPr/>
            <w:r>
              <w:t xml:space="preserve">Planos de ubicación y secciones</w:t>
            </w:r>
          </w:p>
        </w:tc>
      </w:tr>
      <w:tr>
        <w:tc>
          <w:tcPr>
            <w:tcW w:w="3120" w:type="dxa"/>
          </w:tcPr>
          <w:p>
            <w:pPr/>
            <w:r>
              <w:t xml:space="preserve">HE7: El sistema de señalización vertical y horizontal cumple el Manual de Dispositivos de Control del Tránsito (2024) en tipo, ubicación y dimensiones</w:t>
            </w:r>
          </w:p>
        </w:tc>
        <w:tc>
          <w:tcPr>
            <w:tcW w:w="3120" w:type="dxa"/>
          </w:tcPr>
          <w:p>
            <w:pPr/>
            <w:r>
              <w:t xml:space="preserve">100 % de dispositivos conformes</w:t>
            </w:r>
          </w:p>
        </w:tc>
        <w:tc>
          <w:tcPr>
            <w:tcW w:w="3120" w:type="dxa"/>
          </w:tcPr>
          <w:p>
            <w:pPr/>
            <w:r>
              <w:t xml:space="preserve">Planos de señalización; ficha de verificación</w:t>
            </w:r>
          </w:p>
        </w:tc>
      </w:tr>
    </w:tbl>
    <w:p>
      <w:pPr/>
      <w:r>
        <w:t xml:space="preserve">En cualquiera de las dos opciones deben eliminarse las frases "garantizará la segregación eficiente", "aumentar el nivel de servicio a B o C", "reduciendo la exposición a accidentes y emisiones" y "reduciendo significativamente los puntos de conflicto". Lo que sí puede quedar como resultado del estudio es el </w:t>
      </w:r>
      <w:r>
        <w:rPr>
          <w:b/>
        </w:rPr>
        <w:t xml:space="preserve">nivel de servicio proyectado de la nueva vía</w:t>
      </w:r>
      <w:r>
        <w:t xml:space="preserve"> calculado con la metodología HCM, porque es un cálculo de diseño y no una medición posterior a la construcción.</w:t>
      </w:r>
    </w:p>
    <w:p>
      <w:pPr/>
      <w:r>
        <w:rPr>
          <w:b/>
        </w:rPr>
        <w:t xml:space="preserve">Correspondencia PE1 con OE1.</w:t>
      </w:r>
      <w:r>
        <w:t xml:space="preserve"> Reescribir PE1 como pregunta de caracterización del tránsito y trasladar la idea de afectación a seguridad, ambiente y fluidez a la realidad problemática (1.1), donde ya está documentada con datos del PDU 2020-2030. Redacción propuesta:</w:t>
      </w:r>
    </w:p>
    <w:p>
      <w:pPr>
        <w:pStyle w:val="Quote"/>
      </w:pPr>
      <w:r>
        <w:rPr>
          <w:b/>
        </w:rPr>
        <w:t xml:space="preserve">PE1.</w:t>
      </w:r>
      <w:r>
        <w:t xml:space="preserve"> ¿Cuáles son las características del tránsito actual en los ejes de la Carretera Bellavista, la Av. Augusto B. Leguía y la Av. Lima (IMDA, composición vehicular, factor de hora pico y nivel de servicio) y cuál es la demanda de ejes equivalentes (ESAL) que condicionará el diseño de la vía de evitamiento del distrito de La Unión?</w:t>
      </w:r>
    </w:p>
    <w:p>
      <w:pPr>
        <w:pStyle w:val="Heading3"/>
      </w:pPr>
      <w:r>
        <w:t xml:space="preserve">Observación 3. "Muestreo no probabilístico por conveniencia"</w:t>
      </w:r>
    </w:p>
    <w:p>
      <w:pPr/>
      <w:r>
        <w:rPr>
          <w:b/>
        </w:rPr>
        <w:t xml:space="preserve">Lo que dice el jurado.</w:t>
      </w:r>
      <w:r>
        <w:t xml:space="preserve"> Para tránsito, geotecnia y topografía la selección responde a criterios técnico-normativos, no a conveniencia. Recomienda "muestreo no probabilístico dirigido o intencional, determinado mediante criterios técnicos y normativos".</w:t>
      </w:r>
    </w:p>
    <w:p>
      <w:pPr/>
      <w:r>
        <w:rPr>
          <w:b/>
        </w:rPr>
        <w:t xml:space="preserve">Diagnóstico.</w:t>
      </w:r>
      <w:r>
        <w:t xml:space="preserve"> La sección 3.5.2 dice "no probabilístico por conveniencia o dirigido". El término "conveniencia" en estadística significa elegir las unidades más accesibles, lo que debilita la validez. En la tesis las unidades se eligen por norma: tramos homogéneos (DG-2018), densidad de calicatas por kilómetro (Manual de Suelos 2014) y franja completa del trazo (topografía).</w:t>
      </w:r>
    </w:p>
    <w:p>
      <w:pPr/>
      <w:r>
        <w:rPr>
          <w:b/>
        </w:rPr>
        <w:t xml:space="preserve">Solución.</w:t>
      </w:r>
      <w:r>
        <w:t xml:space="preserve"> Adoptar la denominación del jurado y, para cada componente, citar la norma que determina el tamaño y la ubicación de la muestra. Redacción propuesta para el primer párrafo de 3.5.2:</w:t>
      </w:r>
    </w:p>
    <w:p>
      <w:pPr>
        <w:pStyle w:val="Quote"/>
      </w:pPr>
      <w:r>
        <w:t xml:space="preserve">El muestreo es no probabilístico, dirigido o intencional (Arias, 2012; Hernández-Sampieri y Mendoza, 2018), porque la ubicación y el número de unidades de medición no se eligen al azar ni por accesibilidad, sino que están determinados por criterios técnicos y normativos de la ingeniería vial: la sectorización por tramos homogéneos de tráfico (DG-2018, capítulo I), la densidad de exploración geotécnica según la clase de carretera (Manual de Carreteras: Suelos, Geología, Geotecnia y Pavimentos, 2014, cuadros 4.1 y 4.2) y la cobertura total de la franja del derecho de vía para el levantamiento topográfico (DG-2018, capítulo II).</w:t>
      </w:r>
    </w:p>
    <w:p>
      <w:pPr/>
      <w:r>
        <w:t xml:space="preserve">El detalle de tamaños de muestra por componente se desarrolla en la Observación 11, y la densidad de calicatas se ajusta según la Observación 5.</w:t>
      </w:r>
    </w:p>
    <w:p>
      <w:pPr>
        <w:pStyle w:val="Heading3"/>
      </w:pPr>
      <w:r>
        <w:t xml:space="preserve">Observación 4. Normas APA 7 en figuras, tablas y antecedentes</w:t>
      </w:r>
    </w:p>
    <w:p>
      <w:pPr/>
      <w:r>
        <w:rPr>
          <w:b/>
        </w:rPr>
        <w:t xml:space="preserve">Lo que dice el jurado.</w:t>
      </w:r>
      <w:r>
        <w:t xml:space="preserve"> Las figuras deben llevar número, título, imagen y nota; las tablas igual. Los antecedentes son resúmenes extensos y deben convertirse en: autor/año; lugar; problema; metodología; resultados; aporte concreto a la presente investigación.</w:t>
      </w:r>
    </w:p>
    <w:p>
      <w:pPr/>
      <w:r>
        <w:rPr>
          <w:b/>
        </w:rPr>
        <w:t xml:space="preserve">Diagnóstico de figuras y tablas.</w:t>
      </w:r>
      <w:r>
        <w:t xml:space="preserve"> Las Figuras 1 a 11 llevan número y título pero ninguna tiene línea de </w:t>
      </w:r>
      <w:r>
        <w:rPr>
          <w:b/>
        </w:rPr>
        <w:t xml:space="preserve">Nota</w:t>
      </w:r>
      <w:r>
        <w:t xml:space="preserve">; la Tabla 1 sí la tiene ("Adaptado de Manual de Hidrología..."), las Tablas 2 a 5 no. Debe verificarse además que el número vaya en negrita y el título en cursiva, en líneas separadas, y que el texto cite cada figura antes de que aparezca.</w:t>
      </w:r>
    </w:p>
    <w:p>
      <w:pPr/>
      <w:r>
        <w:rPr>
          <w:b/>
        </w:rPr>
        <w:t xml:space="preserve">Formato a aplicar (APA 7, sección 7.2 y 7.3):</w:t>
      </w:r>
    </w:p>
    <w:p>
      <w:pPr>
        <w:pStyle w:val="Code"/>
      </w:pPr>
      <w:bookmarkStart w:id="1" w:name="bongo_lang_markdown_1"/>
      <w:bookmarkEnd w:id="1"/>
      <w:r>
        <w:t xml:space="preserve">**Figura 5**</w:t>
        <w:br/>
        <w:t xml:space="preserve">*Situación actual de la Calle Libertad con tránsito pesado*</w:t>
        <w:br/>
        <w:br/>
        <w:t xml:space="preserve">[imagen]</w:t>
        <w:br/>
        <w:br/>
        <w:t xml:space="preserve">*Nota.* Fotografía tomada por los autores el [fecha], progresiva aproximada [km]. Elaboración propia.</w:t>
        <w:br/>
        <w:br/>
        <w:t xml:space="preserve">**Figura 10**</w:t>
        <w:br/>
        <w:t xml:space="preserve">*Plan de Desarrollo Urbano del Distrito de La Unión*</w:t>
        <w:br/>
        <w:br/>
        <w:t xml:space="preserve">[imagen]</w:t>
        <w:br/>
        <w:br/>
        <w:t xml:space="preserve">*Nota.* Adaptado de *Plan de Desarrollo Urbano de La Arena, La Unión y Vice 2020-2030* (p. [n]), por Municipalidad Provincial de Piura, 2020.</w:t>
        <w:br/>
        <w:br/>
        <w:t xml:space="preserve">**Tabla 2**</w:t>
        <w:br/>
        <w:t xml:space="preserve">*Operacionalización de variables de la investigación*</w:t>
        <w:br/>
        <w:br/>
        <w:t xml:space="preserve">[tabla]</w:t>
        <w:br/>
        <w:br/>
        <w:t xml:space="preserve">*Nota.* Umbrales tomados del Manual de Carreteras: Diseño Geométrico DG-2018 (MTC, 2018) y del Manual de Carreteras: Suelos, Geología, Geotecnia y Pavimentos (MTC, 2014). Elaboración propia.</w:t>
      </w:r>
    </w:p>
    <w:p>
      <w:pPr/>
      <w:r>
        <w:t xml:space="preserve">Reglas de la nota: "Elaboración propia" cuando el contenido es de los autores; "Tomado de" cuando se reproduce sin cambios; "Adaptado de" cuando se modifica; siempre con título de la fuente en cursiva, autor, año y página. Las figuras tomadas de Google Earth o del PDU necesitan la fuente explícita.</w:t>
      </w:r>
    </w:p>
    <w:p>
      <w:pPr/>
      <w:r>
        <w:rPr>
          <w:b/>
        </w:rPr>
        <w:t xml:space="preserve">Diagnóstico de antecedentes.</w:t>
      </w:r>
      <w:r>
        <w:t xml:space="preserve"> Los 14 antecedentes (5 internacionales, 5 nacionales, 4 locales) tienen entre 150 y 250 palabras en un solo párrafo narrativo más uno de aporte. El jurado pide una estructura fija y visible.</w:t>
      </w:r>
    </w:p>
    <w:p>
      <w:pPr/>
      <w:r>
        <w:rPr>
          <w:b/>
        </w:rPr>
        <w:t xml:space="preserve">Solución.</w:t>
      </w:r>
      <w:r>
        <w:t xml:space="preserve"> Reescribir cada antecedente en seis elementos etiquetados, con un máximo de 120 a 150 palabras. Ejemplo con el antecedente local de mayor peso:</w:t>
      </w:r>
    </w:p>
    <w:p>
      <w:pPr>
        <w:pStyle w:val="Quote"/>
      </w:pPr>
      <w:r>
        <w:rPr>
          <w:b/>
        </w:rPr>
        <w:t xml:space="preserve">Martinez Quinde y Sernaque Paico (2023).</w:t>
      </w:r>
      <w:r>
        <w:t xml:space="preserve"> </w:t>
      </w:r>
      <w:r>
        <w:rPr>
          <w:i/>
        </w:rPr>
        <w:t xml:space="preserve">Lugar:</w:t>
      </w:r>
      <w:r>
        <w:t xml:space="preserve"> distritos de La Arena y La Unión, Piura, Perú. </w:t>
      </w:r>
      <w:r>
        <w:rPr>
          <w:i/>
        </w:rPr>
        <w:t xml:space="preserve">Problema:</w:t>
      </w:r>
      <w:r>
        <w:t xml:space="preserve"> congestión, accidentes y contaminación por el paso de la carretera por el casco urbano. </w:t>
      </w:r>
      <w:r>
        <w:rPr>
          <w:i/>
        </w:rPr>
        <w:t xml:space="preserve">Metodología:</w:t>
      </w:r>
      <w:r>
        <w:t xml:space="preserve"> investigación aplicada, cuantitativa, no experimental; estudio de tráfico, topografía, calicatas y diseño con DG-2018 y AASHTO 93. </w:t>
      </w:r>
      <w:r>
        <w:rPr>
          <w:i/>
        </w:rPr>
        <w:t xml:space="preserve">Resultados:</w:t>
      </w:r>
      <w:r>
        <w:t xml:space="preserve"> subrasante con CBR de diseño de 3 % y estructura de pavimento flexible con mejoramiento de subrasante [completar espesores]. </w:t>
      </w:r>
      <w:r>
        <w:rPr>
          <w:i/>
        </w:rPr>
        <w:t xml:space="preserve">Aporte a la presente investigación:</w:t>
      </w:r>
      <w:r>
        <w:t xml:space="preserve"> anticipa subrasantes de baja capacidad en la planicie del Bajo Piura, por lo que el diseño estructural de este proyecto debe prever mejoramiento de suelos o capas de reemplazo y verificar el CBR de diseño por tramos homogéneos.</w:t>
      </w:r>
    </w:p>
    <w:p>
      <w:pPr/>
      <w:r>
        <w:t xml:space="preserve">Aplicar el mismo molde a los 13 restantes. Para los antecedentes internacionales conviene indicar la norma usada (AASHTO, SIECA, Instrucción 3.1-IC, SCT) y, en el aporte, qué procedimiento concreto se adopta en La Unión.</w:t>
      </w:r>
    </w:p>
    <w:p>
      <w:pPr>
        <w:pStyle w:val="Heading2"/>
      </w:pPr>
      <w:r>
        <w:t xml:space="preserve">4. Marco normativo y bibliográfico de sustento</w:t>
      </w:r>
    </w:p>
    <w:p>
      <w:pPr/>
      <w:r>
        <w:t xml:space="preserve">Todas las soluciones anteriores se apoyan en las fuentes siguientes. Las normas del MTC deben citarse en la tesis con su resolución de aprobación y año; las versiones indicadas son las vigentes a la fecha de este documento y conviene confirmarlas en el portal del MTC antes de la entrega.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Fuente</w:t>
            </w:r>
          </w:p>
        </w:tc>
        <w:tc>
          <w:tcPr>
            <w:tcW w:w="3120" w:type="dxa"/>
            <w:shd w:val="clear" w:color="auto" w:fill="F2F2F2"/>
          </w:tcPr>
          <w:p>
            <w:pPr/>
            <w:r>
              <w:t xml:space="preserve">Qué sustenta en el levantamiento</w:t>
            </w:r>
          </w:p>
        </w:tc>
        <w:tc>
          <w:tcPr>
            <w:tcW w:w="3120" w:type="dxa"/>
            <w:shd w:val="clear" w:color="auto" w:fill="F2F2F2"/>
          </w:tcPr>
          <w:p>
            <w:pPr/>
            <w:r>
              <w:t xml:space="preserve">Observaciones donde se usa</w:t>
            </w:r>
          </w:p>
        </w:tc>
      </w:tr>
      <w:tr>
        <w:tc>
          <w:tcPr>
            <w:tcW w:w="3120" w:type="dxa"/>
          </w:tcPr>
          <w:p>
            <w:pPr/>
            <w:r>
              <w:t xml:space="preserve">MTC (2018). </w:t>
            </w:r>
            <w:r>
              <w:rPr>
                <w:i/>
              </w:rPr>
              <w:t xml:space="preserve">Manual de Carreteras: Diseño Geométrico DG-2018</w:t>
            </w:r>
            <w:r>
              <w:t xml:space="preserve">. R.D. N.° 03-2018-MTC/14</w:t>
            </w:r>
          </w:p>
        </w:tc>
        <w:tc>
          <w:tcPr>
            <w:tcW w:w="3120" w:type="dxa"/>
          </w:tcPr>
          <w:p>
            <w:pPr/>
            <w:r>
              <w:t xml:space="preserve">Clasificación por demanda (sección 101) y orografía (102); velocidad de diseño (Tabla 204.01); visibilidad de parada (Tabla 205.01-A); radios mínimos (Tabla 302.02); pendientes máximas (Tabla 303.01); sección transversal (Tablas 304.01 y 304.02); tramos homogéneos para estaciones de conteo</w:t>
            </w:r>
          </w:p>
        </w:tc>
        <w:tc>
          <w:tcPr>
            <w:tcW w:w="3120" w:type="dxa"/>
          </w:tcPr>
          <w:p>
            <w:pPr/>
            <w:r>
              <w:t xml:space="preserve">2, 3, 5, 6, 7, 10</w:t>
            </w:r>
          </w:p>
        </w:tc>
      </w:tr>
      <w:tr>
        <w:tc>
          <w:tcPr>
            <w:tcW w:w="3120" w:type="dxa"/>
          </w:tcPr>
          <w:p>
            <w:pPr/>
            <w:r>
              <w:t xml:space="preserve">MTC (2014). </w:t>
            </w:r>
            <w:r>
              <w:rPr>
                <w:i/>
              </w:rPr>
              <w:t xml:space="preserve">Manual de Carreteras: Suelos, Geología, Geotecnia y Pavimentos. Sección Suelos y Pavimentos</w:t>
            </w:r>
            <w:r>
              <w:t xml:space="preserve">. R.D. N.° 10-2014-MTC/14</w:t>
            </w:r>
          </w:p>
        </w:tc>
        <w:tc>
          <w:tcPr>
            <w:tcW w:w="3120" w:type="dxa"/>
          </w:tcPr>
          <w:p>
            <w:pPr/>
            <w:r>
              <w:t xml:space="preserve">Densidad de calicatas por clase de carretera (cuadro 4.1), número de CBR por km (cuadro 4.2), categorías de subrasante, cálculo de ESAL, método AASHTO 93 adaptado, espesores mínimos</w:t>
            </w:r>
          </w:p>
        </w:tc>
        <w:tc>
          <w:tcPr>
            <w:tcW w:w="3120" w:type="dxa"/>
          </w:tcPr>
          <w:p>
            <w:pPr/>
            <w:r>
              <w:t xml:space="preserve">3, 5, 11</w:t>
            </w:r>
          </w:p>
        </w:tc>
      </w:tr>
      <w:tr>
        <w:tc>
          <w:tcPr>
            <w:tcW w:w="3120" w:type="dxa"/>
          </w:tcPr>
          <w:p>
            <w:pPr/>
            <w:r>
              <w:t xml:space="preserve">MTC (2011). </w:t>
            </w:r>
            <w:r>
              <w:rPr>
                <w:i/>
              </w:rPr>
              <w:t xml:space="preserve">Manual de Hidrología, Hidráulica y Drenaje</w:t>
            </w:r>
            <w:r>
              <w:t xml:space="preserve">. R.D. N.° 20-2011-MTC/14</w:t>
            </w:r>
          </w:p>
        </w:tc>
        <w:tc>
          <w:tcPr>
            <w:tcW w:w="3120" w:type="dxa"/>
          </w:tcPr>
          <w:p>
            <w:pPr/>
            <w:r>
              <w:t xml:space="preserve">Método Racional y su límite de área, periodos de retorno por tipo de obra, diseño de cunetas y alcantarillas</w:t>
            </w:r>
          </w:p>
        </w:tc>
        <w:tc>
          <w:tcPr>
            <w:tcW w:w="3120" w:type="dxa"/>
          </w:tcPr>
          <w:p>
            <w:pPr/>
            <w:r>
              <w:t xml:space="preserve">5, 11</w:t>
            </w:r>
          </w:p>
        </w:tc>
      </w:tr>
      <w:tr>
        <w:tc>
          <w:tcPr>
            <w:tcW w:w="3120" w:type="dxa"/>
          </w:tcPr>
          <w:p>
            <w:pPr/>
            <w:r>
              <w:t xml:space="preserve">MTC (2024). </w:t>
            </w:r>
            <w:r>
              <w:rPr>
                <w:i/>
              </w:rPr>
              <w:t xml:space="preserve">Manual de Dispositivos de Control del Tránsito Automotor para Calles y Carreteras</w:t>
            </w:r>
            <w:r>
              <w:t xml:space="preserve">. R.D. N.° 26-2024-MTC/18</w:t>
            </w:r>
          </w:p>
        </w:tc>
        <w:tc>
          <w:tcPr>
            <w:tcW w:w="3120" w:type="dxa"/>
          </w:tcPr>
          <w:p>
            <w:pPr/>
            <w:r>
              <w:t xml:space="preserve">Diseño de señalización vertical y horizontal; ficha de verificación de dispositivos</w:t>
            </w:r>
          </w:p>
        </w:tc>
        <w:tc>
          <w:tcPr>
            <w:tcW w:w="3120" w:type="dxa"/>
          </w:tcPr>
          <w:p>
            <w:pPr/>
            <w:r>
              <w:t xml:space="preserve">5, 6, 10</w:t>
            </w:r>
          </w:p>
        </w:tc>
      </w:tr>
      <w:tr>
        <w:tc>
          <w:tcPr>
            <w:tcW w:w="3120" w:type="dxa"/>
          </w:tcPr>
          <w:p>
            <w:pPr/>
            <w:r>
              <w:t xml:space="preserve">MTC (2018). </w:t>
            </w:r>
            <w:r>
              <w:rPr>
                <w:i/>
              </w:rPr>
              <w:t xml:space="preserve">Manual de Puentes</w:t>
            </w:r>
            <w:r>
              <w:t xml:space="preserve">. R.D. N.° 19-2018-MTC/14</w:t>
            </w:r>
          </w:p>
        </w:tc>
        <w:tc>
          <w:tcPr>
            <w:tcW w:w="3120" w:type="dxa"/>
          </w:tcPr>
          <w:p>
            <w:pPr/>
            <w:r>
              <w:t xml:space="preserve">Criterios de ubicación, galíbo y luz para el predimensionamiento de obras de arte mayores; justificación de por qué su diseño estructural es una especialidad aparte</w:t>
            </w:r>
          </w:p>
        </w:tc>
        <w:tc>
          <w:tcPr>
            <w:tcW w:w="3120" w:type="dxa"/>
          </w:tcPr>
          <w:p>
            <w:pPr/>
            <w:r>
              <w:t xml:space="preserve">5, 8</w:t>
            </w:r>
          </w:p>
        </w:tc>
      </w:tr>
      <w:tr>
        <w:tc>
          <w:tcPr>
            <w:tcW w:w="3120" w:type="dxa"/>
          </w:tcPr>
          <w:p>
            <w:pPr/>
            <w:r>
              <w:t xml:space="preserve">MTC (2013). </w:t>
            </w:r>
            <w:r>
              <w:rPr>
                <w:i/>
              </w:rPr>
              <w:t xml:space="preserve">Manual de Carreteras: Especificaciones Técnicas Generales para Construcción EG-2013</w:t>
            </w:r>
          </w:p>
        </w:tc>
        <w:tc>
          <w:tcPr>
            <w:tcW w:w="3120" w:type="dxa"/>
          </w:tcPr>
          <w:p>
            <w:pPr/>
            <w:r>
              <w:t xml:space="preserve">Requisitos de materiales de base y subbase para el estudio de canteras</w:t>
            </w:r>
          </w:p>
        </w:tc>
        <w:tc>
          <w:tcPr>
            <w:tcW w:w="3120" w:type="dxa"/>
          </w:tcPr>
          <w:p>
            <w:pPr/>
            <w:r>
              <w:t xml:space="preserve">5</w:t>
            </w:r>
          </w:p>
        </w:tc>
      </w:tr>
      <w:tr>
        <w:tc>
          <w:tcPr>
            <w:tcW w:w="3120" w:type="dxa"/>
          </w:tcPr>
          <w:p>
            <w:pPr/>
            <w:r>
              <w:t xml:space="preserve">AASHTO (1993). </w:t>
            </w:r>
            <w:r>
              <w:rPr>
                <w:i/>
              </w:rPr>
              <w:t xml:space="preserve">Guide for Design of Pavement Structures</w:t>
            </w:r>
          </w:p>
        </w:tc>
        <w:tc>
          <w:tcPr>
            <w:tcW w:w="3120" w:type="dxa"/>
          </w:tcPr>
          <w:p>
            <w:pPr/>
            <w:r>
              <w:t xml:space="preserve">Ecuación de diseño del número estructural; método de las diferencias acumuladas para tramos homogéneos</w:t>
            </w:r>
          </w:p>
        </w:tc>
        <w:tc>
          <w:tcPr>
            <w:tcW w:w="3120" w:type="dxa"/>
          </w:tcPr>
          <w:p>
            <w:pPr/>
            <w:r>
              <w:t xml:space="preserve">2, 5</w:t>
            </w:r>
          </w:p>
        </w:tc>
      </w:tr>
      <w:tr>
        <w:tc>
          <w:tcPr>
            <w:tcW w:w="3120" w:type="dxa"/>
          </w:tcPr>
          <w:p>
            <w:pPr/>
            <w:r>
              <w:t xml:space="preserve">TRB (2022). </w:t>
            </w:r>
            <w:r>
              <w:rPr>
                <w:i/>
              </w:rPr>
              <w:t xml:space="preserve">Highway Capacity Manual</w:t>
            </w:r>
            <w:r>
              <w:t xml:space="preserve">, 7.ª ed.</w:t>
            </w:r>
          </w:p>
        </w:tc>
        <w:tc>
          <w:tcPr>
            <w:tcW w:w="3120" w:type="dxa"/>
          </w:tcPr>
          <w:p>
            <w:pPr/>
            <w:r>
              <w:t xml:space="preserve">Nivel de servicio actual y proyectado como cálculo de diseño, no como efecto medido</w:t>
            </w:r>
          </w:p>
        </w:tc>
        <w:tc>
          <w:tcPr>
            <w:tcW w:w="3120" w:type="dxa"/>
          </w:tcPr>
          <w:p>
            <w:pPr/>
            <w:r>
              <w:t xml:space="preserve">2, 6</w:t>
            </w:r>
          </w:p>
        </w:tc>
      </w:tr>
      <w:tr>
        <w:tc>
          <w:tcPr>
            <w:tcW w:w="3120" w:type="dxa"/>
          </w:tcPr>
          <w:p>
            <w:pPr/>
            <w:r>
              <w:t xml:space="preserve">Hernández-Sampieri, R. y Mendoza, C. (2018). </w:t>
            </w:r>
            <w:r>
              <w:rPr>
                <w:i/>
              </w:rPr>
              <w:t xml:space="preserve">Metodología de la investigación: las rutas cuantitativa, cualitativa y mixta</w:t>
            </w:r>
            <w:r>
              <w:t xml:space="preserve">. McGraw-Hill</w:t>
            </w:r>
          </w:p>
        </w:tc>
        <w:tc>
          <w:tcPr>
            <w:tcW w:w="3120" w:type="dxa"/>
          </w:tcPr>
          <w:p>
            <w:pPr/>
            <w:r>
              <w:t xml:space="preserve">Cuándo una investigación cuantitativa no formula hipótesis; muestreo no probabilístico dirigido; unidad de análisis</w:t>
            </w:r>
          </w:p>
        </w:tc>
        <w:tc>
          <w:tcPr>
            <w:tcW w:w="3120" w:type="dxa"/>
          </w:tcPr>
          <w:p>
            <w:pPr/>
            <w:r>
              <w:t xml:space="preserve">2, 3, 11</w:t>
            </w:r>
          </w:p>
        </w:tc>
      </w:tr>
      <w:tr>
        <w:tc>
          <w:tcPr>
            <w:tcW w:w="3120" w:type="dxa"/>
          </w:tcPr>
          <w:p>
            <w:pPr/>
            <w:r>
              <w:t xml:space="preserve">Hurtado de Barrera, J. (2010). </w:t>
            </w:r>
            <w:r>
              <w:rPr>
                <w:i/>
              </w:rPr>
              <w:t xml:space="preserve">Metodología de la investigación: guía para la comprensión holística de la ciencia</w:t>
            </w:r>
            <w:r>
              <w:t xml:space="preserve">. Quirón</w:t>
            </w:r>
          </w:p>
        </w:tc>
        <w:tc>
          <w:tcPr>
            <w:tcW w:w="3120" w:type="dxa"/>
          </w:tcPr>
          <w:p>
            <w:pPr/>
            <w:r>
              <w:t xml:space="preserve">Definición de investigación proyectiva y su estructura por objetivos y criterios de diseño</w:t>
            </w:r>
          </w:p>
        </w:tc>
        <w:tc>
          <w:tcPr>
            <w:tcW w:w="3120" w:type="dxa"/>
          </w:tcPr>
          <w:p>
            <w:pPr/>
            <w:r>
              <w:t xml:space="preserve">2, 6</w:t>
            </w:r>
          </w:p>
        </w:tc>
      </w:tr>
      <w:tr>
        <w:tc>
          <w:tcPr>
            <w:tcW w:w="3120" w:type="dxa"/>
          </w:tcPr>
          <w:p>
            <w:pPr/>
            <w:r>
              <w:t xml:space="preserve">Arias, F. (2012). </w:t>
            </w:r>
            <w:r>
              <w:rPr>
                <w:i/>
              </w:rPr>
              <w:t xml:space="preserve">El proyecto de investigación</w:t>
            </w:r>
            <w:r>
              <w:t xml:space="preserve">, 6.ª ed. Episteme</w:t>
            </w:r>
          </w:p>
        </w:tc>
        <w:tc>
          <w:tcPr>
            <w:tcW w:w="3120" w:type="dxa"/>
          </w:tcPr>
          <w:p>
            <w:pPr/>
            <w:r>
              <w:t xml:space="preserve">Muestreo intencional u opinático por criterios del investigador</w:t>
            </w:r>
          </w:p>
        </w:tc>
        <w:tc>
          <w:tcPr>
            <w:tcW w:w="3120" w:type="dxa"/>
          </w:tcPr>
          <w:p>
            <w:pPr/>
            <w:r>
              <w:t xml:space="preserve">3</w:t>
            </w:r>
          </w:p>
        </w:tc>
      </w:tr>
      <w:tr>
        <w:tc>
          <w:tcPr>
            <w:tcW w:w="3120" w:type="dxa"/>
          </w:tcPr>
          <w:p>
            <w:pPr/>
            <w:r>
              <w:t xml:space="preserve">American Psychological Association (2020). </w:t>
            </w:r>
            <w:r>
              <w:rPr>
                <w:i/>
              </w:rPr>
              <w:t xml:space="preserve">Publication Manual</w:t>
            </w:r>
            <w:r>
              <w:t xml:space="preserve">, 7.ª ed. (cap. 7, figuras y tablas)</w:t>
            </w:r>
          </w:p>
        </w:tc>
        <w:tc>
          <w:tcPr>
            <w:tcW w:w="3120" w:type="dxa"/>
          </w:tcPr>
          <w:p>
            <w:pPr/>
            <w:r>
              <w:t xml:space="preserve">Formato de número, título, nota y fuente</w:t>
            </w:r>
          </w:p>
        </w:tc>
        <w:tc>
          <w:tcPr>
            <w:tcW w:w="3120" w:type="dxa"/>
          </w:tcPr>
          <w:p>
            <w:pPr/>
            <w:r>
              <w:t xml:space="preserve">4</w:t>
            </w:r>
          </w:p>
        </w:tc>
      </w:tr>
      <w:tr>
        <w:tc>
          <w:tcPr>
            <w:tcW w:w="3120" w:type="dxa"/>
          </w:tcPr>
          <w:p>
            <w:pPr/>
            <w:r>
              <w:t xml:space="preserve">Municipalidad Provincial de Piura (2020). </w:t>
            </w:r>
            <w:r>
              <w:rPr>
                <w:i/>
              </w:rPr>
              <w:t xml:space="preserve">Plan de Desarrollo Urbano de La Arena, La Unión y Vice 2020-2030</w:t>
            </w:r>
          </w:p>
        </w:tc>
        <w:tc>
          <w:tcPr>
            <w:tcW w:w="3120" w:type="dxa"/>
          </w:tcPr>
          <w:p>
            <w:pPr/>
            <w:r>
              <w:t xml:space="preserve">Origen del IMDA de 3,472 veh/día, nivel de servicio C y D y composición vehicular; fuente de las Figuras 10 y 11</w:t>
            </w:r>
          </w:p>
        </w:tc>
        <w:tc>
          <w:tcPr>
            <w:tcW w:w="3120" w:type="dxa"/>
          </w:tcPr>
          <w:p>
            <w:pPr/>
            <w:r>
              <w:t xml:space="preserve">7, 9</w:t>
            </w:r>
          </w:p>
        </w:tc>
      </w:tr>
    </w:tbl>
    <w:p>
      <w:pPr/>
      <w:r>
        <w:t xml:space="preserve">Punto de atención: en la tesis se cita el Manual de Suelos 2014 "Sección 4.2" como respaldo de 1 calicata por km a nivel de perfil. Esa densidad corresponde a carreteras de bajo volumen; para la clase de carretera del proyecto debe citarse el cuadro 4.1 con el valor que corresponde a Primera Clase. Citar correctamente este cuadro es lo que cierra la Observación 5.</w:t>
      </w:r>
    </w:p>
    <w:p>
      <w:pPr>
        <w:pStyle w:val="Heading2"/>
      </w:pPr>
      <w:r>
        <w:t xml:space="preserve">5. Plan de acción y lista de verificación</w:t>
      </w:r>
    </w:p>
    <w:p>
      <w:pPr/>
      <w:r>
        <w:t xml:space="preserve">El orden importa: primero se decide el alcance (obs. 5, 7, 8), porque de él dependen objetivos, preguntas, matriz y presupuesto; luego se reescribe la cadena metodológica (obs. 2, 6, 10, 11, 12); y al final se corrige forma y redacción (obs. 1, 4, 9).</w:t>
      </w:r>
    </w:p>
    <w:p>
      <w:pPr/>
      <w:r>
        <w:rPr>
          <w:b/>
        </w:rPr>
        <w:t xml:space="preserve">Fase 1. Decisiones de alcance (con el asesor)</w:t>
      </w:r>
    </w:p>
    <w:p>
      <w:pPr>
        <w:pStyle w:val="ListParagraph"/>
        <w:numPr>
          <w:ilvl w:val="0"/>
          <w:numId w:val="3"/>
        </w:numPr>
      </w:pPr>
      <w:r>
        <w:t xml:space="preserve">☐ Confirmar en el cuadro 4.1 y 4.2 del Manual de Suelos 2014 la densidad de calicatas y CBR para Carretera de Primera Clase y fijar el número definitivo para los 5 km.</w:t>
      </w:r>
    </w:p>
    <w:p>
      <w:pPr>
        <w:pStyle w:val="ListParagraph"/>
        <w:numPr>
          <w:ilvl w:val="0"/>
          <w:numId w:val="3"/>
        </w:numPr>
      </w:pPr>
      <w:r>
        <w:t xml:space="preserve">☐ Decidir si se adopta la opción A (sin hipótesis, con parámetros de verificación) o la opción B (hipótesis de trabajo descriptivas), según lo que exija el Reglamento de Tesis de la UNP.</w:t>
      </w:r>
    </w:p>
    <w:p>
      <w:pPr>
        <w:pStyle w:val="ListParagraph"/>
        <w:numPr>
          <w:ilvl w:val="0"/>
          <w:numId w:val="3"/>
        </w:numPr>
      </w:pPr>
      <w:r>
        <w:t xml:space="preserve">☐ Decidir si el cuestionario institucional se mantiene como instrumento complementario de diagnóstico o se retira.</w:t>
      </w:r>
    </w:p>
    <w:p>
      <w:pPr>
        <w:pStyle w:val="ListParagraph"/>
        <w:numPr>
          <w:ilvl w:val="0"/>
          <w:numId w:val="3"/>
        </w:numPr>
      </w:pPr>
      <w:r>
        <w:t xml:space="preserve">☐ Recalcular el presupuesto (Tabla 4) y el cronograma (Tabla 3) con la nueva cantidad de calicatas, ensayos y el estudio de canteras.</w:t>
      </w:r>
    </w:p>
    <w:p>
      <w:pPr/>
      <w:r>
        <w:rPr>
          <w:b/>
        </w:rPr>
        <w:t xml:space="preserve">Fase 2. Cadena metodológica</w:t>
      </w:r>
    </w:p>
    <w:p>
      <w:pPr>
        <w:pStyle w:val="ListParagraph"/>
        <w:numPr>
          <w:ilvl w:val="0"/>
          <w:numId w:val="4"/>
        </w:numPr>
      </w:pPr>
      <w:r>
        <w:t xml:space="preserve">☐ Reescribir 1.5 (delimitación) en positivo con la tabla de alcance por componente.</w:t>
      </w:r>
    </w:p>
    <w:p>
      <w:pPr>
        <w:pStyle w:val="ListParagraph"/>
        <w:numPr>
          <w:ilvl w:val="0"/>
          <w:numId w:val="4"/>
        </w:numPr>
      </w:pPr>
      <w:r>
        <w:t xml:space="preserve">☐ Reescribir las siete preguntas específicas (1.2.2) y ajustar OE3, OE5 y OE6 (1.4.2) según la tabla de la Observación 6.</w:t>
      </w:r>
    </w:p>
    <w:p>
      <w:pPr>
        <w:pStyle w:val="ListParagraph"/>
        <w:numPr>
          <w:ilvl w:val="0"/>
          <w:numId w:val="4"/>
        </w:numPr>
      </w:pPr>
      <w:r>
        <w:t xml:space="preserve">☐ Reemplazar 2.5 (hipótesis) por la redacción de la opción elegida y unificar el radio mínimo (229 m para Vd 80 km/h y peralte 8 %).</w:t>
      </w:r>
    </w:p>
    <w:p>
      <w:pPr>
        <w:pStyle w:val="ListParagraph"/>
        <w:numPr>
          <w:ilvl w:val="0"/>
          <w:numId w:val="4"/>
        </w:numPr>
      </w:pPr>
      <w:r>
        <w:t xml:space="preserve">☐ Actualizar la Tabla 2: columna "Criterio de verificación", dimensiones de drenaje, obras de arte y señalización, una sola variable con el nivel de servicio proyectado como dimensión.</w:t>
      </w:r>
    </w:p>
    <w:p>
      <w:pPr>
        <w:pStyle w:val="ListParagraph"/>
        <w:numPr>
          <w:ilvl w:val="0"/>
          <w:numId w:val="4"/>
        </w:numPr>
      </w:pPr>
      <w:r>
        <w:t xml:space="preserve">☐ Reescribir 3.1 (enfoque) sin cuestionarios como evidencia; 3.5 con la tabla de unidades de análisis; 3.7 con las técnicas separadas en diseño y diagnóstico.</w:t>
      </w:r>
    </w:p>
    <w:p>
      <w:pPr>
        <w:pStyle w:val="ListParagraph"/>
        <w:numPr>
          <w:ilvl w:val="0"/>
          <w:numId w:val="4"/>
        </w:numPr>
      </w:pPr>
      <w:r>
        <w:t xml:space="preserve">☐ Agregar en 3.6 el párrafo de fundamento del diseño y separar 3.6.5 en diseño del pavimento y predimensionamiento de obras de arte.</w:t>
      </w:r>
    </w:p>
    <w:p>
      <w:pPr>
        <w:pStyle w:val="ListParagraph"/>
        <w:numPr>
          <w:ilvl w:val="0"/>
          <w:numId w:val="4"/>
        </w:numPr>
      </w:pPr>
      <w:r>
        <w:t xml:space="preserve">☐ Agregar en 3.6.1 el procedimiento de clasificación definitiva (IMDA proyectado, tránsito de paso por origen-destino, regla de decisión si supera 4,000 veh/día).</w:t>
      </w:r>
    </w:p>
    <w:p>
      <w:pPr>
        <w:pStyle w:val="ListParagraph"/>
        <w:numPr>
          <w:ilvl w:val="0"/>
          <w:numId w:val="4"/>
        </w:numPr>
      </w:pPr>
      <w:r>
        <w:t xml:space="preserve">☐ Agregar en 3.6.3 el estudio de canteras y fuentes de agua.</w:t>
      </w:r>
    </w:p>
    <w:p>
      <w:pPr>
        <w:pStyle w:val="ListParagraph"/>
        <w:numPr>
          <w:ilvl w:val="0"/>
          <w:numId w:val="4"/>
        </w:numPr>
      </w:pPr>
      <w:r>
        <w:t xml:space="preserve">☐ Crear el anexo "Ficha de verificación normativa DG-2018" y la ficha equivalente para señalización.</w:t>
      </w:r>
    </w:p>
    <w:p>
      <w:pPr>
        <w:pStyle w:val="ListParagraph"/>
        <w:numPr>
          <w:ilvl w:val="0"/>
          <w:numId w:val="4"/>
        </w:numPr>
      </w:pPr>
      <w:r>
        <w:t xml:space="preserve">☐ Rehacer la Tabla 5 (matriz de consistencia) con las nuevas preguntas, objetivos y criterios, y leerla fila por fila comprobando que no cambia la variable.</w:t>
      </w:r>
    </w:p>
    <w:p>
      <w:pPr/>
      <w:r>
        <w:rPr>
          <w:b/>
        </w:rPr>
        <w:t xml:space="preserve">Fase 3. Forma y redacción</w:t>
      </w:r>
    </w:p>
    <w:p>
      <w:pPr>
        <w:pStyle w:val="ListParagraph"/>
        <w:numPr>
          <w:ilvl w:val="0"/>
          <w:numId w:val="5"/>
        </w:numPr>
      </w:pPr>
      <w:r>
        <w:t xml:space="preserve">☐ Reemitir las cartas de asesor y coasesora con el título de la portada; corregir el encabezado de los Anexos 6.2.1 y 6.2.2.</w:t>
      </w:r>
    </w:p>
    <w:p>
      <w:pPr>
        <w:pStyle w:val="ListParagraph"/>
        <w:numPr>
          <w:ilvl w:val="0"/>
          <w:numId w:val="5"/>
        </w:numPr>
      </w:pPr>
      <w:r>
        <w:t xml:space="preserve">☐ Buscar y reemplazar en todo el archivo: "ciudad de La Unión" (donde corresponda "distrito"), "irrefutable", "erradicar", "eliminar la exposición", "garantizará", "de manera definitiva", "categórica", "imperativa", "por conveniencia".</w:t>
      </w:r>
    </w:p>
    <w:p>
      <w:pPr>
        <w:pStyle w:val="ListParagraph"/>
        <w:numPr>
          <w:ilvl w:val="0"/>
          <w:numId w:val="5"/>
        </w:numPr>
      </w:pPr>
      <w:r>
        <w:t xml:space="preserve">☐ Aplicar el formato APA 7 a las 11 figuras y 5 tablas: número en negrita, título en cursiva, imagen o tabla, línea "Nota." con fuente o "Elaboración propia".</w:t>
      </w:r>
    </w:p>
    <w:p>
      <w:pPr>
        <w:pStyle w:val="ListParagraph"/>
        <w:numPr>
          <w:ilvl w:val="0"/>
          <w:numId w:val="5"/>
        </w:numPr>
      </w:pPr>
      <w:r>
        <w:t xml:space="preserve">☐ Reescribir los 14 antecedentes con los seis elementos etiquetados (autor/año, lugar, problema, metodología, resultados, aporte).</w:t>
      </w:r>
    </w:p>
    <w:p>
      <w:pPr>
        <w:pStyle w:val="ListParagraph"/>
        <w:numPr>
          <w:ilvl w:val="0"/>
          <w:numId w:val="5"/>
        </w:numPr>
      </w:pPr>
      <w:r>
        <w:t xml:space="preserve">☐ Corregir "diciplinas" por "disciplinas" y revisar la ortografía general.</w:t>
      </w:r>
    </w:p>
    <w:p>
      <w:pPr/>
      <w:r>
        <w:rPr>
          <w:b/>
        </w:rPr>
        <w:t xml:space="preserve">Fase 4. Control final antes de reenviar al jurado</w:t>
      </w:r>
    </w:p>
    <w:p>
      <w:pPr>
        <w:pStyle w:val="ListParagraph"/>
        <w:numPr>
          <w:ilvl w:val="0"/>
          <w:numId w:val="6"/>
        </w:numPr>
      </w:pPr>
      <w:r>
        <w:t xml:space="preserve">☐ Preparar una tabla de respuesta al jurado (observación, página corregida, resumen del cambio) para adjuntar con la nueva versión.</w:t>
      </w:r>
    </w:p>
    <w:p>
      <w:pPr>
        <w:pStyle w:val="ListParagraph"/>
        <w:numPr>
          <w:ilvl w:val="0"/>
          <w:numId w:val="6"/>
        </w:numPr>
      </w:pPr>
      <w:r>
        <w:t xml:space="preserve">☐ Verificar que título, problema general, objetivo general y variable usen las mismas palabras: "diseño geométrico y estructural de una vía de evitamiento".</w:t>
      </w:r>
    </w:p>
    <w:p>
      <w:pPr>
        <w:pStyle w:val="ListParagraph"/>
        <w:numPr>
          <w:ilvl w:val="0"/>
          <w:numId w:val="6"/>
        </w:numPr>
      </w:pPr>
      <w:r>
        <w:t xml:space="preserve">☐ Verificar que ninguna frase del capítulo 1 ni del 2 afirme un resultado que la tesis no medirá.</w:t>
      </w:r>
    </w:p>
    <w:p>
      <w:pPr>
        <w:pStyle w:val="ListParagraph"/>
        <w:numPr>
          <w:ilvl w:val="0"/>
          <w:numId w:val="6"/>
        </w:numPr>
      </w:pPr>
      <w:r>
        <w:t xml:space="preserve">☐ Verificar que ningún indicador de la Tabla 2 tenga como instrumento una encuesta o cuestionario.</w:t>
      </w:r>
    </w:p>
    <w:p>
      <w:pPr>
        <w:pStyle w:val="Heading3"/>
      </w:pPr>
      <w:r>
        <w:t xml:space="preserve">Observación 5. Delimitación de la investigación</w:t>
      </w:r>
    </w:p>
    <w:p>
      <w:pPr/>
      <w:r>
        <w:rPr>
          <w:b/>
        </w:rPr>
        <w:t xml:space="preserve">Lo que dice el jurado.</w:t>
      </w:r>
      <w:r>
        <w:t xml:space="preserve"> Si el objetivo principal es el diseño geométrico y estructural de la vía, deben realizarse todos los estudios que señala la normativa con los alcances mínimos establecidos. Se debe corregir la delimitación en sus extremos: exclusiones de soluciones a desnivel, limitación de hidrología al Método Racional e IDF, exclusión de modelación hidrodinámica, limitación de obras de arte al predimensionamiento, exclusión "categórica" del diseño en concreto armado. No es opción asumir datos o tomarlos con métodos no estandarizados; es necesario realizar todo el diseño estructural de la vía y de todos sus elementos.</w:t>
      </w:r>
    </w:p>
    <w:p>
      <w:pPr/>
      <w:r>
        <w:rPr>
          <w:b/>
        </w:rPr>
        <w:t xml:space="preserve">Diagnóstico.</w:t>
      </w:r>
      <w:r>
        <w:t xml:space="preserve"> La sección 1.5 está escrita en negativo: dedica cinco párrafos a lo que </w:t>
      </w:r>
      <w:r>
        <w:rPr>
          <w:b/>
        </w:rPr>
        <w:t xml:space="preserve">no</w:t>
      </w:r>
      <w:r>
        <w:t xml:space="preserve"> se hará ("de ninguna manera", "se excluye de manera categórica", "no abarcará", "tampoco"). Dos puntos son objetivamente débiles frente a la norma:</w:t>
      </w:r>
    </w:p>
    <w:p>
      <w:pPr>
        <w:pStyle w:val="ListParagraph"/>
        <w:numPr>
          <w:ilvl w:val="0"/>
          <w:numId w:val="7"/>
        </w:numPr>
      </w:pPr>
      <w:r>
        <w:rPr>
          <w:b/>
        </w:rPr>
        <w:t xml:space="preserve">Exploración geotécnica.</w:t>
      </w:r>
      <w:r>
        <w:t xml:space="preserve"> Se declara 1 calicata por kilómetro (5 en total) "a nivel de perfil", y el propio texto reconoce que "no reemplaza la mayor densidad exigida por el MTC". El Manual de Suelos, Geología, Geotecnia y Pavimentos (2014), cuadro 4.1, fija la densidad por clase de carretera; para una Carretera de Primera Clase es del orden de 4 calicatas por kilómetro, y el cuadro 4.2 fija el número de ensayos CBR por kilómetro (del orden de 3 para primera clase). Estos valores deben confirmarse en la versión vigente del manual antes de redactar.</w:t>
      </w:r>
    </w:p>
    <w:p>
      <w:pPr>
        <w:pStyle w:val="ListParagraph"/>
        <w:numPr>
          <w:ilvl w:val="0"/>
          <w:numId w:val="7"/>
        </w:numPr>
      </w:pPr>
      <w:r>
        <w:rPr>
          <w:b/>
        </w:rPr>
        <w:t xml:space="preserve">Diseño estructural.</w:t>
      </w:r>
      <w:r>
        <w:t xml:space="preserve"> El título promete "diseño estructural" de la vía. El jurado lo interpreta como el diseño completo del pavimento y de los elementos de la vía (drenaje menor, alcantarillas, señalización), no como un predimensionamiento.</w:t>
      </w:r>
    </w:p>
    <w:p>
      <w:pPr/>
      <w:r>
        <w:rPr>
          <w:b/>
        </w:rPr>
        <w:t xml:space="preserve">Solución.</w:t>
      </w:r>
      <w:r>
        <w:t xml:space="preserve"> Reescribir 1.5 en positivo, definiendo (a) el nivel del estudio, (b) los estudios básicos que sí se ejecutan con su norma y densidad, (c) los componentes que se diseñan por completo y (d) el único componente que queda en predimensionamiento (obras de arte mayores), con su justificación técnica. Alcance propuesto: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Componente</w:t>
            </w:r>
          </w:p>
        </w:tc>
        <w:tc>
          <w:tcPr>
            <w:tcW w:w="3120" w:type="dxa"/>
            <w:shd w:val="clear" w:color="auto" w:fill="F2F2F2"/>
          </w:tcPr>
          <w:p>
            <w:pPr/>
            <w:r>
              <w:t xml:space="preserve">Alcance en la tesis</w:t>
            </w:r>
          </w:p>
        </w:tc>
        <w:tc>
          <w:tcPr>
            <w:tcW w:w="3120" w:type="dxa"/>
            <w:shd w:val="clear" w:color="auto" w:fill="F2F2F2"/>
          </w:tcPr>
          <w:p>
            <w:pPr/>
            <w:r>
              <w:t xml:space="preserve">Norma y parámetro que lo fija</w:t>
            </w:r>
          </w:p>
        </w:tc>
      </w:tr>
      <w:tr>
        <w:tc>
          <w:tcPr>
            <w:tcW w:w="3120" w:type="dxa"/>
          </w:tcPr>
          <w:p>
            <w:pPr/>
            <w:r>
              <w:t xml:space="preserve">Estudio de tráfico</w:t>
            </w:r>
          </w:p>
        </w:tc>
        <w:tc>
          <w:tcPr>
            <w:tcW w:w="3120" w:type="dxa"/>
          </w:tcPr>
          <w:p>
            <w:pPr/>
            <w:r>
              <w:t xml:space="preserve">Conteo clasificado 24 h por 7 días en 3 estaciones, encuesta origen-destino, factor de corrección estacional, IMDA actual y proyectado, FHP, nivel de servicio, ESAL a 20 años</w:t>
            </w:r>
          </w:p>
        </w:tc>
        <w:tc>
          <w:tcPr>
            <w:tcW w:w="3120" w:type="dxa"/>
          </w:tcPr>
          <w:p>
            <w:pPr/>
            <w:r>
              <w:t xml:space="preserve">DG-2018 cap. I; Manual de Suelos y Pavimentos 2014 cap. VI</w:t>
            </w:r>
          </w:p>
        </w:tc>
      </w:tr>
      <w:tr>
        <w:tc>
          <w:tcPr>
            <w:tcW w:w="3120" w:type="dxa"/>
          </w:tcPr>
          <w:p>
            <w:pPr/>
            <w:r>
              <w:t xml:space="preserve">Topografía</w:t>
            </w:r>
          </w:p>
        </w:tc>
        <w:tc>
          <w:tcPr>
            <w:tcW w:w="3120" w:type="dxa"/>
          </w:tcPr>
          <w:p>
            <w:pPr/>
            <w:r>
              <w:t xml:space="preserve">Levantamiento de la franja completa del trazo (ancho del derecho de vía más margen), modelo digital, curvas de nivel, catálogo de interferencias (canales, predios)</w:t>
            </w:r>
          </w:p>
        </w:tc>
        <w:tc>
          <w:tcPr>
            <w:tcW w:w="3120" w:type="dxa"/>
          </w:tcPr>
          <w:p>
            <w:pPr/>
            <w:r>
              <w:t xml:space="preserve">DG-2018 cap. II</w:t>
            </w:r>
          </w:p>
        </w:tc>
      </w:tr>
      <w:tr>
        <w:tc>
          <w:tcPr>
            <w:tcW w:w="3120" w:type="dxa"/>
          </w:tcPr>
          <w:p>
            <w:pPr/>
            <w:r>
              <w:t xml:space="preserve">Mecánica de suelos</w:t>
            </w:r>
          </w:p>
        </w:tc>
        <w:tc>
          <w:tcPr>
            <w:tcW w:w="3120" w:type="dxa"/>
          </w:tcPr>
          <w:p>
            <w:pPr/>
            <w:r>
              <w:t xml:space="preserve">Calicatas y ensayos CBR con la densidad del cuadro 4.1 y 4.2 para la clase de carretera resultante; clasificación SUCS y AASHTO, Proctor, sales, sulfatos, cloruros; sectorización por diferencias acumuladas; CBR de diseño por sector</w:t>
            </w:r>
          </w:p>
        </w:tc>
        <w:tc>
          <w:tcPr>
            <w:tcW w:w="3120" w:type="dxa"/>
          </w:tcPr>
          <w:p>
            <w:pPr/>
            <w:r>
              <w:t xml:space="preserve">Manual de Suelos y Pavimentos 2014 cap. IV</w:t>
            </w:r>
          </w:p>
        </w:tc>
      </w:tr>
      <w:tr>
        <w:tc>
          <w:tcPr>
            <w:tcW w:w="3120" w:type="dxa"/>
          </w:tcPr>
          <w:p>
            <w:pPr/>
            <w:r>
              <w:t xml:space="preserve">Canteras y fuentes de agua</w:t>
            </w:r>
          </w:p>
        </w:tc>
        <w:tc>
          <w:tcPr>
            <w:tcW w:w="3120" w:type="dxa"/>
          </w:tcPr>
          <w:p>
            <w:pPr/>
            <w:r>
              <w:t xml:space="preserve">Identificación y caracterización de al menos una cantera para base y subbase y una fuente de agua</w:t>
            </w:r>
          </w:p>
        </w:tc>
        <w:tc>
          <w:tcPr>
            <w:tcW w:w="3120" w:type="dxa"/>
          </w:tcPr>
          <w:p>
            <w:pPr/>
            <w:r>
              <w:t xml:space="preserve">Manual de Suelos y Pavimentos 2014 cap. IV y EG-2013</w:t>
            </w:r>
          </w:p>
        </w:tc>
      </w:tr>
      <w:tr>
        <w:tc>
          <w:tcPr>
            <w:tcW w:w="3120" w:type="dxa"/>
          </w:tcPr>
          <w:p>
            <w:pPr/>
            <w:r>
              <w:t xml:space="preserve">Diseño geométrico</w:t>
            </w:r>
          </w:p>
        </w:tc>
        <w:tc>
          <w:tcPr>
            <w:tcW w:w="3120" w:type="dxa"/>
          </w:tcPr>
          <w:p>
            <w:pPr/>
            <w:r>
              <w:t xml:space="preserve">Diseño completo en planta, perfil y sección; intersecciones de acceso a nivel; sobreancho; derecho de vía</w:t>
            </w:r>
          </w:p>
        </w:tc>
        <w:tc>
          <w:tcPr>
            <w:tcW w:w="3120" w:type="dxa"/>
          </w:tcPr>
          <w:p>
            <w:pPr/>
            <w:r>
              <w:t xml:space="preserve">DG-2018 cap. III, IV, V</w:t>
            </w:r>
          </w:p>
        </w:tc>
      </w:tr>
      <w:tr>
        <w:tc>
          <w:tcPr>
            <w:tcW w:w="3120" w:type="dxa"/>
          </w:tcPr>
          <w:p>
            <w:pPr/>
            <w:r>
              <w:t xml:space="preserve">Diseño estructural del pavimento</w:t>
            </w:r>
          </w:p>
        </w:tc>
        <w:tc>
          <w:tcPr>
            <w:tcW w:w="3120" w:type="dxa"/>
          </w:tcPr>
          <w:p>
            <w:pPr/>
            <w:r>
              <w:t xml:space="preserve">Diseño completo del pavimento flexible por AASHTO 93 con verificación de espesores mínimos del MTC; mejoramiento de subrasante si el CBR es menor a 6 %</w:t>
            </w:r>
          </w:p>
        </w:tc>
        <w:tc>
          <w:tcPr>
            <w:tcW w:w="3120" w:type="dxa"/>
          </w:tcPr>
          <w:p>
            <w:pPr/>
            <w:r>
              <w:t xml:space="preserve">Manual de Suelos y Pavimentos 2014 cap. XII; AASHTO 1993</w:t>
            </w:r>
          </w:p>
        </w:tc>
      </w:tr>
      <w:tr>
        <w:tc>
          <w:tcPr>
            <w:tcW w:w="3120" w:type="dxa"/>
          </w:tcPr>
          <w:p>
            <w:pPr/>
            <w:r>
              <w:t xml:space="preserve">Hidrología e hidráulica</w:t>
            </w:r>
          </w:p>
        </w:tc>
        <w:tc>
          <w:tcPr>
            <w:tcW w:w="3120" w:type="dxa"/>
          </w:tcPr>
          <w:p>
            <w:pPr/>
            <w:r>
              <w:t xml:space="preserve">Delimitación de microcuencas, curvas IDF, caudales por Método Racional (cuencas menores a 10 km², según el manual), y diseño hidráulico completo de cunetas y alcantarillas de alivio y de paso</w:t>
            </w:r>
          </w:p>
        </w:tc>
        <w:tc>
          <w:tcPr>
            <w:tcW w:w="3120" w:type="dxa"/>
          </w:tcPr>
          <w:p>
            <w:pPr/>
            <w:r>
              <w:t xml:space="preserve">Manual de Hidrología, Hidráulica y Drenaje 2011</w:t>
            </w:r>
          </w:p>
        </w:tc>
      </w:tr>
      <w:tr>
        <w:tc>
          <w:tcPr>
            <w:tcW w:w="3120" w:type="dxa"/>
          </w:tcPr>
          <w:p>
            <w:pPr/>
            <w:r>
              <w:t xml:space="preserve">Obras de drenaje transversal menores</w:t>
            </w:r>
          </w:p>
        </w:tc>
        <w:tc>
          <w:tcPr>
            <w:tcW w:w="3120" w:type="dxa"/>
          </w:tcPr>
          <w:p>
            <w:pPr/>
            <w:r>
              <w:t xml:space="preserve">Diseño hidráulico y dimensionamiento de alcantarillas (TMC o marco) y cabezales, con secciones tipo del MTC</w:t>
            </w:r>
          </w:p>
        </w:tc>
        <w:tc>
          <w:tcPr>
            <w:tcW w:w="3120" w:type="dxa"/>
          </w:tcPr>
          <w:p>
            <w:pPr/>
            <w:r>
              <w:t xml:space="preserve">Manual de Hidrología 2011; Manual de Puentes 2018 para galíbos</w:t>
            </w:r>
          </w:p>
        </w:tc>
      </w:tr>
      <w:tr>
        <w:tc>
          <w:tcPr>
            <w:tcW w:w="3120" w:type="dxa"/>
          </w:tcPr>
          <w:p>
            <w:pPr/>
            <w:r>
              <w:t xml:space="preserve">Obras de arte mayores (puente losa, pontón, puente caja)</w:t>
            </w:r>
          </w:p>
        </w:tc>
        <w:tc>
          <w:tcPr>
            <w:tcW w:w="3120" w:type="dxa"/>
          </w:tcPr>
          <w:p>
            <w:pPr/>
            <w:r>
              <w:t xml:space="preserve">Predimensionamiento conceptual y geométrico: ubicación, luz, galíbo, cota de rasante, sección hidráulica; sin cálculo estructural de concreto armado</w:t>
            </w:r>
          </w:p>
        </w:tc>
        <w:tc>
          <w:tcPr>
            <w:tcW w:w="3120" w:type="dxa"/>
          </w:tcPr>
          <w:p>
            <w:pPr/>
            <w:r>
              <w:t xml:space="preserve">Manual de Puentes 2018 (criterios de ubicación y galíbo)</w:t>
            </w:r>
          </w:p>
        </w:tc>
      </w:tr>
      <w:tr>
        <w:tc>
          <w:tcPr>
            <w:tcW w:w="3120" w:type="dxa"/>
          </w:tcPr>
          <w:p>
            <w:pPr/>
            <w:r>
              <w:t xml:space="preserve">Señalización y seguridad vial</w:t>
            </w:r>
          </w:p>
        </w:tc>
        <w:tc>
          <w:tcPr>
            <w:tcW w:w="3120" w:type="dxa"/>
          </w:tcPr>
          <w:p>
            <w:pPr/>
            <w:r>
              <w:t xml:space="preserve">Diseño completo de señalización vertical y horizontal del tramo y de sus intersecciones</w:t>
            </w:r>
          </w:p>
        </w:tc>
        <w:tc>
          <w:tcPr>
            <w:tcW w:w="3120" w:type="dxa"/>
          </w:tcPr>
          <w:p>
            <w:pPr/>
            <w:r>
              <w:t xml:space="preserve">Manual de Dispositivos de Control del Tránsito 2024</w:t>
            </w:r>
          </w:p>
        </w:tc>
      </w:tr>
      <w:tr>
        <w:tc>
          <w:tcPr>
            <w:tcW w:w="3120" w:type="dxa"/>
          </w:tcPr>
          <w:p>
            <w:pPr/>
            <w:r>
              <w:t xml:space="preserve">Fuera del alcance</w:t>
            </w:r>
          </w:p>
        </w:tc>
        <w:tc>
          <w:tcPr>
            <w:tcW w:w="3120" w:type="dxa"/>
          </w:tcPr>
          <w:p>
            <w:pPr/>
            <w:r>
              <w:t xml:space="preserve">Pasos a desnivel, pavimento rígido alternativo, EIA, saneamiento legal del derecho de vía, expediente técnico, plan de gestión de tránsito en obra</w:t>
            </w:r>
          </w:p>
        </w:tc>
        <w:tc>
          <w:tcPr>
            <w:tcW w:w="3120" w:type="dxa"/>
          </w:tcPr>
          <w:p>
            <w:pPr/>
            <w:r>
              <w:t xml:space="preserve">No son estudios de diseño de la vía sino de la fase de inversión</w:t>
            </w:r>
          </w:p>
        </w:tc>
      </w:tr>
    </w:tbl>
    <w:p>
      <w:pPr/>
      <w:r>
        <w:rPr>
          <w:b/>
        </w:rPr>
        <w:t xml:space="preserve">Por qué el predimensionamiento de obras de arte mayores sí puede mantenerse.</w:t>
      </w:r>
      <w:r>
        <w:t xml:space="preserve"> El diseño estructural de un puente es una especialidad con normativa propia (Manual de Puentes 2018, AASHTO LRFD) y requiere hidráulica fluvial, socavación y estudio geotécnico de cimentaciones con perforaciones, que exceden una tesis de diseño vial. La forma correcta de declararlo es la de la Observación 8: nombrarlo como lo que es y no como "diseño estructural". Lo que no puede mantenerse es la exclusión del diseño completo del pavimento, del drenaje menor y de la señalización, que sí son elementos de la vía.</w:t>
      </w:r>
    </w:p>
    <w:p>
      <w:pPr/>
      <w:r>
        <w:rPr>
          <w:b/>
        </w:rPr>
        <w:t xml:space="preserve">Redacción propuesta para el párrafo central de 1.5:</w:t>
      </w:r>
    </w:p>
    <w:p>
      <w:pPr>
        <w:pStyle w:val="Quote"/>
      </w:pPr>
      <w:r>
        <w:t xml:space="preserve">La investigación desarrolla el diseño geométrico y estructural de la vía de evitamiento a nivel de estudio definitivo de ingeniería básica, sustentado en los estudios básicos que exige el Ministerio de Transportes y Comunicaciones: tráfico, topografía, mecánica de suelos, canteras y fuentes de agua, e hidrología e hidráulica, ejecutados con las densidades, métodos de ensayo y procedimientos establecidos en los manuales del MTC vigentes. Comprende el diseño completo de la geometría en planta, perfil y sección transversal, de las intersecciones a nivel, de la estructura del pavimento flexible, del sistema de drenaje superficial y transversal menor y de la señalización vial. Para las obras de arte mayores (puente tipo losa, pontón o puente caja) se desarrolla el predimensionamiento conceptual y geométrico que define su ubicación, luz, galíbo y cota de rasante, dado que su diseño estructural se rige por el Manual de Puentes y requiere estudios de cimentación y socavación propios de una etapa posterior.</w:t>
      </w:r>
    </w:p>
    <w:p>
      <w:pPr/>
      <w:r>
        <w:rPr>
          <w:b/>
        </w:rPr>
        <w:t xml:space="preserve">Impacto en el presupuesto (sección 4.2).</w:t>
      </w:r>
      <w:r>
        <w:t xml:space="preserve"> Pasar de 5 a unas 20 calicatas y de 5 a unas 15 ensayos CBR multiplica el costo de laboratorio. Debe actualizarse la Tabla 4 y el cronograma. Si el financiamiento no alcanza, la alternativa defendible ante el jurado es justificar una densidad intermedia mediante sectorización por tramos homogéneos con el método de las diferencias acumuladas (ya descrito en 3.6.3), pero nunca por debajo de la densidad mínima del manual para la clase de carretera.</w:t>
      </w:r>
    </w:p>
    <w:p>
      <w:pPr>
        <w:pStyle w:val="Heading3"/>
      </w:pPr>
      <w:r>
        <w:t xml:space="preserve">Observación 6. Preguntas de investigación sin coherencia con el hilo conductor</w:t>
      </w:r>
    </w:p>
    <w:p>
      <w:pPr/>
      <w:r>
        <w:rPr>
          <w:b/>
        </w:rPr>
        <w:t xml:space="preserve">Lo que dice el jurado.</w:t>
      </w:r>
      <w:r>
        <w:t xml:space="preserve"> Las preguntas no presentan coherencia con el título, los objetivos ni la realidad problemática. Título, realidad problemática, pregunta, objetivos, hipótesis, diseño metodológico y resultados deben tener relación y trazabilidad.</w:t>
      </w:r>
    </w:p>
    <w:p>
      <w:pPr/>
      <w:r>
        <w:rPr>
          <w:b/>
        </w:rPr>
        <w:t xml:space="preserve">Diagnóstico.</w:t>
      </w:r>
      <w:r>
        <w:t xml:space="preserve"> Las siete preguntas específicas usan la fórmula "¿De qué manera X contribuirá a Y?" (PE1, PE2, PE5, PE6, PE7), que pide una relación de efecto, mientras los objetivos usan verbos de diseño (realizar, determinar, elaborar, desarrollar, diseñar). Solo PE3 y PE4 son preguntas de diseño. El problema general sí está bien planteado ("¿Qué características de diseño geométrico y estructural debe cumplir...?").</w:t>
      </w:r>
    </w:p>
    <w:p>
      <w:pPr/>
      <w:r>
        <w:rPr>
          <w:b/>
        </w:rPr>
        <w:t xml:space="preserve">Solución.</w:t>
      </w:r>
      <w:r>
        <w:t xml:space="preserve"> Reescribir cada pregunta específica en paralelo exacto con su objetivo: misma variable, mismo entregable, mismo orden. Cada pregunta debe poder responderse con el producto del objetivo (un plano, una memoria de cálculo, una tabla).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w:t>
            </w:r>
          </w:p>
        </w:tc>
        <w:tc>
          <w:tcPr>
            <w:tcW w:w="2340" w:type="dxa"/>
            <w:shd w:val="clear" w:color="auto" w:fill="F2F2F2"/>
          </w:tcPr>
          <w:p>
            <w:pPr/>
            <w:r>
              <w:t xml:space="preserve">Pregunta específica propuesta</w:t>
            </w:r>
          </w:p>
        </w:tc>
        <w:tc>
          <w:tcPr>
            <w:tcW w:w="2340" w:type="dxa"/>
            <w:shd w:val="clear" w:color="auto" w:fill="F2F2F2"/>
          </w:tcPr>
          <w:p>
            <w:pPr/>
            <w:r>
              <w:t xml:space="preserve">Objetivo específico (ajustado)</w:t>
            </w:r>
          </w:p>
        </w:tc>
        <w:tc>
          <w:tcPr>
            <w:tcW w:w="2340" w:type="dxa"/>
            <w:shd w:val="clear" w:color="auto" w:fill="F2F2F2"/>
          </w:tcPr>
          <w:p>
            <w:pPr/>
            <w:r>
              <w:t xml:space="preserve">Entregable que la responde</w:t>
            </w:r>
          </w:p>
        </w:tc>
      </w:tr>
      <w:tr>
        <w:tc>
          <w:tcPr>
            <w:tcW w:w="2340" w:type="dxa"/>
          </w:tcPr>
          <w:p>
            <w:pPr/>
            <w:r>
              <w:t xml:space="preserve">1</w:t>
            </w:r>
          </w:p>
        </w:tc>
        <w:tc>
          <w:tcPr>
            <w:tcW w:w="2340" w:type="dxa"/>
          </w:tcPr>
          <w:p>
            <w:pPr/>
            <w:r>
              <w:t xml:space="preserve">¿Cuáles son las características del tránsito actual (IMDA, composición vehicular, FHP y nivel de servicio) en los ejes afectados y cuál es la demanda de ejes equivalentes (ESAL) de diseño para la vida útil de la vía de evitamiento?</w:t>
            </w:r>
          </w:p>
        </w:tc>
        <w:tc>
          <w:tcPr>
            <w:tcW w:w="2340" w:type="dxa"/>
          </w:tcPr>
          <w:p>
            <w:pPr/>
            <w:r>
              <w:t xml:space="preserve">Realizar el estudio de tráfico para determinar el IMDA, la composición vehicular, el FHP, el nivel de servicio actual y el ESAL de diseño</w:t>
            </w:r>
          </w:p>
        </w:tc>
        <w:tc>
          <w:tcPr>
            <w:tcW w:w="2340" w:type="dxa"/>
          </w:tcPr>
          <w:p>
            <w:pPr/>
            <w:r>
              <w:t xml:space="preserve">Informe de tráfico; tabla de IMDA y ESAL</w:t>
            </w:r>
          </w:p>
        </w:tc>
      </w:tr>
      <w:tr>
        <w:tc>
          <w:tcPr>
            <w:tcW w:w="2340" w:type="dxa"/>
          </w:tcPr>
          <w:p>
            <w:pPr/>
            <w:r>
              <w:t xml:space="preserve">2</w:t>
            </w:r>
          </w:p>
        </w:tc>
        <w:tc>
          <w:tcPr>
            <w:tcW w:w="2340" w:type="dxa"/>
          </w:tcPr>
          <w:p>
            <w:pPr/>
            <w:r>
              <w:t xml:space="preserve">¿Qué características topográficas e interferencias físicas del terreno condicionan el trazo, la rasante y el drenaje de la vía de evitamiento?</w:t>
            </w:r>
          </w:p>
        </w:tc>
        <w:tc>
          <w:tcPr>
            <w:tcW w:w="2340" w:type="dxa"/>
          </w:tcPr>
          <w:p>
            <w:pPr/>
            <w:r>
              <w:t xml:space="preserve">Realizar el levantamiento topográfico para determinar curvas de nivel, interferencias (canales, predios) y pendientes que condicionan el diseño</w:t>
            </w:r>
          </w:p>
        </w:tc>
        <w:tc>
          <w:tcPr>
            <w:tcW w:w="2340" w:type="dxa"/>
          </w:tcPr>
          <w:p>
            <w:pPr/>
            <w:r>
              <w:t xml:space="preserve">Planos topográficos; catálogo de interferencias</w:t>
            </w:r>
          </w:p>
        </w:tc>
      </w:tr>
      <w:tr>
        <w:tc>
          <w:tcPr>
            <w:tcW w:w="2340" w:type="dxa"/>
          </w:tcPr>
          <w:p>
            <w:pPr/>
            <w:r>
              <w:t xml:space="preserve">3</w:t>
            </w:r>
          </w:p>
        </w:tc>
        <w:tc>
          <w:tcPr>
            <w:tcW w:w="2340" w:type="dxa"/>
          </w:tcPr>
          <w:p>
            <w:pPr/>
            <w:r>
              <w:t xml:space="preserve">¿Qué estructura de pavimento flexible, diseñada por AASHTO 93 a partir del CBR de diseño y del ESAL, requiere la vía de evitamiento?</w:t>
            </w:r>
          </w:p>
        </w:tc>
        <w:tc>
          <w:tcPr>
            <w:tcW w:w="2340" w:type="dxa"/>
          </w:tcPr>
          <w:p>
            <w:pPr/>
            <w:r>
              <w:t xml:space="preserve">Determinar el diseño estructural del pavimento mediante el estudio de mecánica de suelos y el cálculo del ESAL, aplicando AASHTO 93 y el Manual de Suelos y Pavimentos del MTC</w:t>
            </w:r>
          </w:p>
        </w:tc>
        <w:tc>
          <w:tcPr>
            <w:tcW w:w="2340" w:type="dxa"/>
          </w:tcPr>
          <w:p>
            <w:pPr/>
            <w:r>
              <w:t xml:space="preserve">Memoria de cálculo; sección estructural</w:t>
            </w:r>
          </w:p>
        </w:tc>
      </w:tr>
      <w:tr>
        <w:tc>
          <w:tcPr>
            <w:tcW w:w="2340" w:type="dxa"/>
          </w:tcPr>
          <w:p>
            <w:pPr/>
            <w:r>
              <w:t xml:space="preserve">4</w:t>
            </w:r>
          </w:p>
        </w:tc>
        <w:tc>
          <w:tcPr>
            <w:tcW w:w="2340" w:type="dxa"/>
          </w:tcPr>
          <w:p>
            <w:pPr/>
            <w:r>
              <w:t xml:space="preserve">¿Qué parámetros de diseño geométrico en planta, perfil y sección transversal, incluidas las intersecciones de acceso, cumple la vía de evitamiento conforme a la DG-2018?</w:t>
            </w:r>
          </w:p>
        </w:tc>
        <w:tc>
          <w:tcPr>
            <w:tcW w:w="2340" w:type="dxa"/>
          </w:tcPr>
          <w:p>
            <w:pPr/>
            <w:r>
              <w:t xml:space="preserve">Elaborar el diseño geométrico en planta, perfil y sección transversal, incluidas intersecciones, sobreancho y derecho de vía, conforme a la DG-2018</w:t>
            </w:r>
          </w:p>
        </w:tc>
        <w:tc>
          <w:tcPr>
            <w:tcW w:w="2340" w:type="dxa"/>
          </w:tcPr>
          <w:p>
            <w:pPr/>
            <w:r>
              <w:t xml:space="preserve">Planos de planta, perfil y secciones; ficha de verificación</w:t>
            </w:r>
          </w:p>
        </w:tc>
      </w:tr>
      <w:tr>
        <w:tc>
          <w:tcPr>
            <w:tcW w:w="2340" w:type="dxa"/>
          </w:tcPr>
          <w:p>
            <w:pPr/>
            <w:r>
              <w:t xml:space="preserve">5</w:t>
            </w:r>
          </w:p>
        </w:tc>
        <w:tc>
          <w:tcPr>
            <w:tcW w:w="2340" w:type="dxa"/>
          </w:tcPr>
          <w:p>
            <w:pPr/>
            <w:r>
              <w:t xml:space="preserve">¿Qué caudales de diseño, obtenidos por el Método Racional y curvas IDF, y qué dimensiones del sistema de drenaje superficial (cunetas y alcantarillas) requiere la vía?</w:t>
            </w:r>
          </w:p>
        </w:tc>
        <w:tc>
          <w:tcPr>
            <w:tcW w:w="2340" w:type="dxa"/>
          </w:tcPr>
          <w:p>
            <w:pPr/>
            <w:r>
              <w:t xml:space="preserve">Realizar el análisis hidrológico e hidráulico para dimensionar el sistema de drenaje superficial de la vía</w:t>
            </w:r>
          </w:p>
        </w:tc>
        <w:tc>
          <w:tcPr>
            <w:tcW w:w="2340" w:type="dxa"/>
          </w:tcPr>
          <w:p>
            <w:pPr/>
            <w:r>
              <w:t xml:space="preserve">Memoria hidrológica; planos de drenaje</w:t>
            </w:r>
          </w:p>
        </w:tc>
      </w:tr>
      <w:tr>
        <w:tc>
          <w:tcPr>
            <w:tcW w:w="2340" w:type="dxa"/>
          </w:tcPr>
          <w:p>
            <w:pPr/>
            <w:r>
              <w:t xml:space="preserve">6</w:t>
            </w:r>
          </w:p>
        </w:tc>
        <w:tc>
          <w:tcPr>
            <w:tcW w:w="2340" w:type="dxa"/>
          </w:tcPr>
          <w:p>
            <w:pPr/>
            <w:r>
              <w:t xml:space="preserve">¿Qué ubicación, luz, galíbo y cota de rasante deben tener las obras de arte mayores y de cruce para ser compatibles con la topografía, los cauces y el trazo?</w:t>
            </w:r>
          </w:p>
        </w:tc>
        <w:tc>
          <w:tcPr>
            <w:tcW w:w="2340" w:type="dxa"/>
          </w:tcPr>
          <w:p>
            <w:pPr/>
            <w:r>
              <w:t xml:space="preserve">Desarrollar el predimensionamiento conceptual y geométrico de las obras de arte mayores y de cruce, definiendo su inserción espacial y altimétrica</w:t>
            </w:r>
          </w:p>
        </w:tc>
        <w:tc>
          <w:tcPr>
            <w:tcW w:w="2340" w:type="dxa"/>
          </w:tcPr>
          <w:p>
            <w:pPr/>
            <w:r>
              <w:t xml:space="preserve">Planos de ubicación y secciones típicas</w:t>
            </w:r>
          </w:p>
        </w:tc>
      </w:tr>
      <w:tr>
        <w:tc>
          <w:tcPr>
            <w:tcW w:w="2340" w:type="dxa"/>
          </w:tcPr>
          <w:p>
            <w:pPr/>
            <w:r>
              <w:t xml:space="preserve">7</w:t>
            </w:r>
          </w:p>
        </w:tc>
        <w:tc>
          <w:tcPr>
            <w:tcW w:w="2340" w:type="dxa"/>
          </w:tcPr>
          <w:p>
            <w:pPr/>
            <w:r>
              <w:t xml:space="preserve">¿Qué dispositivos de señalización vertical y horizontal, conforme al Manual de Dispositivos de Control del Tránsito del MTC, requiere la vía de evitamiento y sus intersecciones?</w:t>
            </w:r>
          </w:p>
        </w:tc>
        <w:tc>
          <w:tcPr>
            <w:tcW w:w="2340" w:type="dxa"/>
          </w:tcPr>
          <w:p>
            <w:pPr/>
            <w:r>
              <w:t xml:space="preserve">Diseñar el sistema de señalización vertical y horizontal conforme al Manual de Dispositivos de Control del Tránsito del MTC</w:t>
            </w:r>
          </w:p>
        </w:tc>
        <w:tc>
          <w:tcPr>
            <w:tcW w:w="2340" w:type="dxa"/>
          </w:tcPr>
          <w:p>
            <w:pPr/>
            <w:r>
              <w:t xml:space="preserve">Planos de señalización</w:t>
            </w:r>
          </w:p>
        </w:tc>
      </w:tr>
    </w:tbl>
    <w:p>
      <w:pPr/>
      <w:r>
        <w:rPr>
          <w:b/>
        </w:rPr>
        <w:t xml:space="preserve">Hilo conductor a verificar en la Tabla 5 (matriz de consistencia).</w:t>
      </w:r>
      <w:r>
        <w:t xml:space="preserve"> Cada fila debe leerse de izquierda a derecha sin cambio de variable: realidad problemática (tránsito pesado por el casco urbano) → problema general (qué características debe cumplir la vía) → objetivo general (desarrollar la propuesta de diseño) → variable (diseño geométrico y estructural de la vía) → dimensiones (tráfico, geometría, pavimento, drenaje, obras de arte, señalización) → indicadores con umbral normativo → instrumentos técnicos → resultados (planos y memorias). La segunda variable actual de la Tabla 2 ("Mejora proyectada de la interconexión vial y nivel de servicio") conviene convertirla en una dimensión más de la variable única, con el indicador "nivel de servicio proyectado (HCM)".</w:t>
      </w:r>
    </w:p>
    <w:p>
      <w:pPr>
        <w:pStyle w:val="Heading3"/>
      </w:pPr>
      <w:r>
        <w:t xml:space="preserve">Observación 7. Clasificación de la carretera</w:t>
      </w:r>
    </w:p>
    <w:p>
      <w:pPr/>
      <w:r>
        <w:rPr>
          <w:b/>
        </w:rPr>
        <w:t xml:space="preserve">Lo que dice el jurado.</w:t>
      </w:r>
      <w:r>
        <w:t xml:space="preserve"> Verificar que el IMDA sea coherente con la clasificación como Carretera de Primera Clase, con un IMDA estimado de 3,472 veh/día y topografía de 0 a 3 %.</w:t>
      </w:r>
    </w:p>
    <w:p>
      <w:pPr/>
      <w:r>
        <w:rPr>
          <w:b/>
        </w:rPr>
        <w:t xml:space="preserve">Diagnóstico.</w:t>
      </w:r>
      <w:r>
        <w:t xml:space="preserve"> La DG-2018 (sección 101) clasifica por demanda: Autopista de Primera Clase con IMDA mayor a 6,000 veh/día; Autopista de Segunda Clase entre 4,001 y 6,000; Carretera de Primera Clase entre 2,001 y 4,000; Carretera de Segunda Clase entre 400 y 2,000; Tercera Clase menor a 400. El valor de 3,472 veh/día cae dentro de Primera Clase, pero tiene tres debilidades:</w:t>
      </w:r>
    </w:p>
    <w:p>
      <w:pPr>
        <w:pStyle w:val="ListParagraph"/>
        <w:numPr>
          <w:ilvl w:val="0"/>
          <w:numId w:val="8"/>
        </w:numPr>
      </w:pPr>
      <w:r>
        <w:t xml:space="preserve">Proviene del PDU 2020-2030 y mide el tránsito que hoy circula por el casco urbano, no el tránsito que usará la vía de evitamiento. Parte de ese flujo es local y no se desviará.</w:t>
      </w:r>
    </w:p>
    <w:p>
      <w:pPr>
        <w:pStyle w:val="ListParagraph"/>
        <w:numPr>
          <w:ilvl w:val="0"/>
          <w:numId w:val="8"/>
        </w:numPr>
      </w:pPr>
      <w:r>
        <w:t xml:space="preserve">No está proyectado al año horizonte. La clasificación y el diseño geométrico se hacen con el IMDA del año de diseño (20 años). Con una tasa de crecimiento de 2 a 3 % anual, 3,472 veh/día supera 4,000 en unos 5 a 7 años, lo que cambiaría la clase a Autopista de Segunda Clase, que exige calzadas separadas y control parcial de accesos.</w:t>
      </w:r>
    </w:p>
    <w:p>
      <w:pPr>
        <w:pStyle w:val="ListParagraph"/>
        <w:numPr>
          <w:ilvl w:val="0"/>
          <w:numId w:val="8"/>
        </w:numPr>
      </w:pPr>
      <w:r>
        <w:t xml:space="preserve">La exclusión de motocicletas y mototaxis es razonable para el tránsito desviado, pero debe sustentarse con la encuesta origen-destino, no asumirse.</w:t>
      </w:r>
    </w:p>
    <w:p>
      <w:pPr/>
      <w:r>
        <w:rPr>
          <w:b/>
        </w:rPr>
        <w:t xml:space="preserve">Solución.</w:t>
      </w:r>
      <w:r>
        <w:t xml:space="preserve"> Presentar la clasificación en dos niveles y dejar escrita la regla de decisión:</w:t>
      </w:r>
    </w:p>
    <w:p>
      <w:pPr>
        <w:pStyle w:val="Quote"/>
      </w:pPr>
      <w:r>
        <w:rPr>
          <w:b/>
        </w:rPr>
        <w:t xml:space="preserve">Clasificación preliminar (etapa de proyecto).</w:t>
      </w:r>
      <w:r>
        <w:t xml:space="preserve"> Con el IMDA de 3,472 veh/día del PDU 2020-2030 y la orografía tipo 1 (pendientes transversales menores al 10 % y longitudinales menores al 3 %), la vía se clasifica preliminarmente como Carretera de Primera Clase (DG-2018, sección 101), con velocidad de diseño de 80 km/h (Tabla 204.01).</w:t>
      </w:r>
    </w:p>
    <w:p>
      <w:pPr>
        <w:pStyle w:val="Quote"/>
      </w:pPr>
      <w:r>
        <w:rPr>
          <w:b/>
        </w:rPr>
        <w:t xml:space="preserve">Clasificación definitiva (resultado del OE1).</w:t>
      </w:r>
      <w:r>
        <w:t xml:space="preserve"> Se determinará con el IMDA de la vía de evitamiento proyectado al año horizonte, calculado como: IMDA actual de los ejes afectados (conteo de 7 días por factor de corrección estacional) multiplicado por la proporción de tránsito de paso obtenida de la encuesta origen-destino, más el tránsito generado, proyectado con la tasa de crecimiento del PBI regional y del parque automotor. Si el IMDA proyectado resulta entre 2,001 y 4,000 veh/día se confirma la Carretera de Primera Clase con calzada de dos carriles de 3.60 m; si supera 4,000 veh/día se adoptará Autopista de Segunda Clase con calzadas separadas, y el diseño geométrico se ajustará a esa clase.</w:t>
      </w:r>
    </w:p>
    <w:p>
      <w:pPr/>
      <w:r>
        <w:rPr>
          <w:b/>
        </w:rPr>
        <w:t xml:space="preserve">Parámetros de diseño coherentes con la clasificación preliminar (Vd 80 km/h, orografía tipo 1), para corregir las hipótesis o criterios: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Parámetro</w:t>
            </w:r>
          </w:p>
        </w:tc>
        <w:tc>
          <w:tcPr>
            <w:tcW w:w="2340" w:type="dxa"/>
            <w:shd w:val="clear" w:color="auto" w:fill="F2F2F2"/>
          </w:tcPr>
          <w:p>
            <w:pPr/>
            <w:r>
              <w:t xml:space="preserve">Valor DG-2018 para Vd 80 km/h</w:t>
            </w:r>
          </w:p>
        </w:tc>
        <w:tc>
          <w:tcPr>
            <w:tcW w:w="2340" w:type="dxa"/>
            <w:shd w:val="clear" w:color="auto" w:fill="F2F2F2"/>
          </w:tcPr>
          <w:p>
            <w:pPr/>
            <w:r>
              <w:t xml:space="preserve">Valor que hoy dice la tesis</w:t>
            </w:r>
          </w:p>
        </w:tc>
        <w:tc>
          <w:tcPr>
            <w:tcW w:w="2340" w:type="dxa"/>
            <w:shd w:val="clear" w:color="auto" w:fill="F2F2F2"/>
          </w:tcPr>
          <w:p>
            <w:pPr/>
            <w:r>
              <w:t xml:space="preserve">Ajuste</w:t>
            </w:r>
          </w:p>
        </w:tc>
      </w:tr>
      <w:tr>
        <w:tc>
          <w:tcPr>
            <w:tcW w:w="2340" w:type="dxa"/>
          </w:tcPr>
          <w:p>
            <w:pPr/>
            <w:r>
              <w:t xml:space="preserve">Radio mínimo (peralte máximo 8 %)</w:t>
            </w:r>
          </w:p>
        </w:tc>
        <w:tc>
          <w:tcPr>
            <w:tcW w:w="2340" w:type="dxa"/>
          </w:tcPr>
          <w:p>
            <w:pPr/>
            <w:r>
              <w:t xml:space="preserve">229 m (Tabla 302.02)</w:t>
            </w:r>
          </w:p>
        </w:tc>
        <w:tc>
          <w:tcPr>
            <w:tcW w:w="2340" w:type="dxa"/>
          </w:tcPr>
          <w:p>
            <w:pPr/>
            <w:r>
              <w:t xml:space="preserve">"&gt; 250 m" en HE4 y "&gt; 300 m" en HG</w:t>
            </w:r>
          </w:p>
        </w:tc>
        <w:tc>
          <w:tcPr>
            <w:tcW w:w="2340" w:type="dxa"/>
          </w:tcPr>
          <w:p>
            <w:pPr/>
            <w:r>
              <w:t xml:space="preserve">Unificar: R ≥ 229 m; en tramo urbano con peralte 4 %, R ≥ 280 m</w:t>
            </w:r>
          </w:p>
        </w:tc>
      </w:tr>
      <w:tr>
        <w:tc>
          <w:tcPr>
            <w:tcW w:w="2340" w:type="dxa"/>
          </w:tcPr>
          <w:p>
            <w:pPr/>
            <w:r>
              <w:t xml:space="preserve">Distancia de visibilidad de parada</w:t>
            </w:r>
          </w:p>
        </w:tc>
        <w:tc>
          <w:tcPr>
            <w:tcW w:w="2340" w:type="dxa"/>
          </w:tcPr>
          <w:p>
            <w:pPr/>
            <w:r>
              <w:t xml:space="preserve">130 m en pendiente 0 % (Tabla 205.01-A)</w:t>
            </w:r>
          </w:p>
        </w:tc>
        <w:tc>
          <w:tcPr>
            <w:tcW w:w="2340" w:type="dxa"/>
          </w:tcPr>
          <w:p>
            <w:pPr/>
            <w:r>
              <w:t xml:space="preserve">"&gt; 130 m"</w:t>
            </w:r>
          </w:p>
        </w:tc>
        <w:tc>
          <w:tcPr>
            <w:tcW w:w="2340" w:type="dxa"/>
          </w:tcPr>
          <w:p>
            <w:pPr/>
            <w:r>
              <w:t xml:space="preserve">Correcto</w:t>
            </w:r>
          </w:p>
        </w:tc>
      </w:tr>
      <w:tr>
        <w:tc>
          <w:tcPr>
            <w:tcW w:w="2340" w:type="dxa"/>
          </w:tcPr>
          <w:p>
            <w:pPr/>
            <w:r>
              <w:t xml:space="preserve">Pendiente máxima, 1ra clase, orografía 1</w:t>
            </w:r>
          </w:p>
        </w:tc>
        <w:tc>
          <w:tcPr>
            <w:tcW w:w="2340" w:type="dxa"/>
          </w:tcPr>
          <w:p>
            <w:pPr/>
            <w:r>
              <w:t xml:space="preserve">5 % (Tabla 303.01)</w:t>
            </w:r>
          </w:p>
        </w:tc>
        <w:tc>
          <w:tcPr>
            <w:tcW w:w="2340" w:type="dxa"/>
          </w:tcPr>
          <w:p>
            <w:pPr/>
            <w:r>
              <w:t xml:space="preserve">"≤ 4 %"</w:t>
            </w:r>
          </w:p>
        </w:tc>
        <w:tc>
          <w:tcPr>
            <w:tcW w:w="2340" w:type="dxa"/>
          </w:tcPr>
          <w:p>
            <w:pPr/>
            <w:r>
              <w:t xml:space="preserve">Correcto como criterio de proyecto más exigente; citar el 5 % normativo</w:t>
            </w:r>
          </w:p>
        </w:tc>
      </w:tr>
      <w:tr>
        <w:tc>
          <w:tcPr>
            <w:tcW w:w="2340" w:type="dxa"/>
          </w:tcPr>
          <w:p>
            <w:pPr/>
            <w:r>
              <w:t xml:space="preserve">Ancho de carril</w:t>
            </w:r>
          </w:p>
        </w:tc>
        <w:tc>
          <w:tcPr>
            <w:tcW w:w="2340" w:type="dxa"/>
          </w:tcPr>
          <w:p>
            <w:pPr/>
            <w:r>
              <w:t xml:space="preserve">3.60 m (Tabla 304.01)</w:t>
            </w:r>
          </w:p>
        </w:tc>
        <w:tc>
          <w:tcPr>
            <w:tcW w:w="2340" w:type="dxa"/>
          </w:tcPr>
          <w:p>
            <w:pPr/>
            <w:r>
              <w:t xml:space="preserve">3.60 m</w:t>
            </w:r>
          </w:p>
        </w:tc>
        <w:tc>
          <w:tcPr>
            <w:tcW w:w="2340" w:type="dxa"/>
          </w:tcPr>
          <w:p>
            <w:pPr/>
            <w:r>
              <w:t xml:space="preserve">Correcto</w:t>
            </w:r>
          </w:p>
        </w:tc>
      </w:tr>
      <w:tr>
        <w:tc>
          <w:tcPr>
            <w:tcW w:w="2340" w:type="dxa"/>
          </w:tcPr>
          <w:p>
            <w:pPr/>
            <w:r>
              <w:t xml:space="preserve">Berma</w:t>
            </w:r>
          </w:p>
        </w:tc>
        <w:tc>
          <w:tcPr>
            <w:tcW w:w="2340" w:type="dxa"/>
          </w:tcPr>
          <w:p>
            <w:pPr/>
            <w:r>
              <w:t xml:space="preserve">Verificar Tabla 304.02 para 1ra clase, orografía 1</w:t>
            </w:r>
          </w:p>
        </w:tc>
        <w:tc>
          <w:tcPr>
            <w:tcW w:w="2340" w:type="dxa"/>
          </w:tcPr>
          <w:p>
            <w:pPr/>
            <w:r>
              <w:t xml:space="preserve">No indicado</w:t>
            </w:r>
          </w:p>
        </w:tc>
        <w:tc>
          <w:tcPr>
            <w:tcW w:w="2340" w:type="dxa"/>
          </w:tcPr>
          <w:p>
            <w:pPr/>
            <w:r>
              <w:t xml:space="preserve">Agregar</w:t>
            </w:r>
          </w:p>
        </w:tc>
      </w:tr>
    </w:tbl>
    <w:p>
      <w:pPr/>
      <w:r>
        <w:t xml:space="preserve">Los valores tabulados deben confirmarse contra el texto vigente de la DG-2018 antes de reemplazarlos en la tesis.</w:t>
      </w:r>
    </w:p>
    <w:p>
      <w:pPr>
        <w:pStyle w:val="Heading3"/>
      </w:pPr>
      <w:r>
        <w:t xml:space="preserve">Observación 8. Alcance de las obras de arte mayores</w:t>
      </w:r>
    </w:p>
    <w:p>
      <w:pPr/>
      <w:r>
        <w:rPr>
          <w:b/>
        </w:rPr>
        <w:t xml:space="preserve">Lo que dice el jurado.</w:t>
      </w:r>
      <w:r>
        <w:t xml:space="preserve"> El objetivo específico propone predimensionar obras de arte mayores, pero la delimitación excluye el modelamiento hidráulico de detalle y el diseño estructural de concreto armado. Puede mantenerse si se denomina "predimensionamiento conceptual/geométrico", no "diseño estructural completo".</w:t>
      </w:r>
    </w:p>
    <w:p>
      <w:pPr/>
      <w:r>
        <w:rPr>
          <w:b/>
        </w:rPr>
        <w:t xml:space="preserve">Diagnóstico.</w:t>
      </w:r>
      <w:r>
        <w:t xml:space="preserve"> OE6 ya dice "predimensionamiento geométrico preliminar", pero el título y el objetivo general hablan de "diseño estructural" sin distinguir pavimento de obras de arte, y la sección 3.6.5 dice "dimensionamiento de obras de arte". La HE6 usa "garantizando" y "demostrando su viabilidad".</w:t>
      </w:r>
    </w:p>
    <w:p>
      <w:pPr/>
      <w:r>
        <w:rPr>
          <w:b/>
        </w:rPr>
        <w:t xml:space="preserve">Solución.</w:t>
      </w:r>
      <w:r>
        <w:t xml:space="preserve"> Usar la misma expresión en los cinco lugares donde aparece el componente:</w:t>
      </w:r>
    </w:p>
    <w:p>
      <w:pPr>
        <w:pStyle w:val="ListParagraph"/>
        <w:numPr>
          <w:ilvl w:val="0"/>
          <w:numId w:val="9"/>
        </w:numPr>
      </w:pPr>
      <w:r>
        <w:t xml:space="preserve">OE6: "Desarrollar el </w:t>
      </w:r>
      <w:r>
        <w:rPr>
          <w:b/>
        </w:rPr>
        <w:t xml:space="preserve">predimensionamiento conceptual y geométrico</w:t>
      </w:r>
      <w:r>
        <w:t xml:space="preserve"> de las obras de arte mayores y de cruce (puente tipo losa, pontón o puente caja), definiendo su ubicación, luz, galíbo y cota de rasante compatibles con la topografía, los cauces y el trazo."</w:t>
      </w:r>
    </w:p>
    <w:p>
      <w:pPr>
        <w:pStyle w:val="ListParagraph"/>
        <w:numPr>
          <w:ilvl w:val="0"/>
          <w:numId w:val="9"/>
        </w:numPr>
      </w:pPr>
      <w:r>
        <w:t xml:space="preserve">PE6: según la tabla de la Observación 6.</w:t>
      </w:r>
    </w:p>
    <w:p>
      <w:pPr>
        <w:pStyle w:val="ListParagraph"/>
        <w:numPr>
          <w:ilvl w:val="0"/>
          <w:numId w:val="9"/>
        </w:numPr>
      </w:pPr>
      <w:r>
        <w:t xml:space="preserve">1.5: según la redacción de la Observación 5.</w:t>
      </w:r>
    </w:p>
    <w:p>
      <w:pPr>
        <w:pStyle w:val="ListParagraph"/>
        <w:numPr>
          <w:ilvl w:val="0"/>
          <w:numId w:val="9"/>
        </w:numPr>
      </w:pPr>
      <w:r>
        <w:t xml:space="preserve">3.6.5: separar en "3.6.5 Diseño estructural del pavimento" (completo) y "3.6.6 Predimensionamiento conceptual y geométrico de obras de arte mayores", describiendo el procedimiento: identificación del cruce, caudal y nivel de aguas máximas, galíbo mínimo según el Manual de Puentes 2018, luz libre, cota de rasante, sección tipo.</w:t>
      </w:r>
    </w:p>
    <w:p>
      <w:pPr>
        <w:pStyle w:val="ListParagraph"/>
        <w:numPr>
          <w:ilvl w:val="0"/>
          <w:numId w:val="9"/>
        </w:numPr>
      </w:pPr>
      <w:r>
        <w:t xml:space="preserve">Tabla 2 y Tabla 5: indicador "compatibilidad geométrica e hidráulica de la obra de arte" con instrumento "planos de ubicación y secciones típicas".</w:t>
      </w:r>
    </w:p>
    <w:p>
      <w:pPr/>
      <w:r>
        <w:t xml:space="preserve">Añadir una frase en 1.5 que explique por qué el diseño estructural de puentes queda fuera: se rige por el Manual de Puentes (MTC, 2018) y la AASHTO LRFD, y requiere estudios de socavación y cimentación con perforaciones que no forman parte de un estudio de diseño vial.</w:t>
      </w:r>
    </w:p>
    <w:p>
      <w:pPr>
        <w:pStyle w:val="Heading3"/>
      </w:pPr>
      <w:r>
        <w:t xml:space="preserve">Observación 9. Conclusiones anticipadas en la justificación</w:t>
      </w:r>
    </w:p>
    <w:p>
      <w:pPr/>
      <w:r>
        <w:rPr>
          <w:b/>
        </w:rPr>
        <w:t xml:space="preserve">Lo que dice el jurado.</w:t>
      </w:r>
      <w:r>
        <w:t xml:space="preserve"> Frases como "beneficios irrefutables", "erradicar el flujo" o afirmaciones de reducción de accidentes deben reemplazarse por formulaciones académicas, porque la investigación aún no ha demostrado esos efectos.</w:t>
      </w:r>
    </w:p>
    <w:p>
      <w:pPr/>
      <w:r>
        <w:rPr>
          <w:b/>
        </w:rPr>
        <w:t xml:space="preserve">Diagnóstico.</w:t>
      </w:r>
      <w:r>
        <w:t xml:space="preserve"> Frases a corregir encontradas en 1.1 y 1.3: "generará beneficios irrefutables, como la reducción de la tasa de accidentes y una notable mejora en la calidad ambiental"; "tiene como objetivo eliminar la exposición de la población"; "mitigará el peligro existente de los accidentes"; "segregue de manera definitiva"; "salvaguarde la vida de los transeúntes y detenga la destrucción sistemática"; "necesidad imperativa". En la hipótesis general, "garantizará". También el título del cuestionario del Anexo 6.2.1 ("Herramienta ... para la Justificación de la Vía") presupone el resultado.</w:t>
      </w:r>
    </w:p>
    <w:p>
      <w:pPr/>
      <w:r>
        <w:rPr>
          <w:b/>
        </w:rPr>
        <w:t xml:space="preserve">Regla de redacción.</w:t>
      </w:r>
      <w:r>
        <w:t xml:space="preserve"> Un beneficio esperado se escribe en condicional o como expectativa referenciada ("se espera que", "de acuerdo con la experiencia de X (año), una vía de evitamiento puede reducir..."), nunca como hecho. Los adjetivos absolutos (irrefutable, definitivo, imperativo, categórico, sistemático) se eliminan.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Texto actual</w:t>
            </w:r>
          </w:p>
        </w:tc>
        <w:tc>
          <w:tcPr>
            <w:tcW w:w="4680" w:type="dxa"/>
            <w:shd w:val="clear" w:color="auto" w:fill="F2F2F2"/>
          </w:tcPr>
          <w:p>
            <w:pPr/>
            <w:r>
              <w:t xml:space="preserve">Redacción propuesta</w:t>
            </w:r>
          </w:p>
        </w:tc>
      </w:tr>
      <w:tr>
        <w:tc>
          <w:tcPr>
            <w:tcW w:w="4680" w:type="dxa"/>
          </w:tcPr>
          <w:p>
            <w:pPr/>
            <w:r>
              <w:t xml:space="preserve">"Si bien se espera que la construcción de la vía generará beneficios irrefutables, como la reducción de la tasa de accidentes y una notable mejora en la calidad ambiental del centro de La Unión"</w:t>
            </w:r>
          </w:p>
        </w:tc>
        <w:tc>
          <w:tcPr>
            <w:tcW w:w="4680" w:type="dxa"/>
          </w:tcPr>
          <w:p>
            <w:pPr/>
            <w:r>
              <w:t xml:space="preserve">"De acuerdo con experiencias documentadas en vías de evitamiento (Mota Saavedra, 2019; Quispe Carranza y Guevara Rodriguez, 2023), es previsible que la segregación del tránsito pesado contribuya a reducir la exposición de la población a riesgos de accidente y a emisiones en el centro de La Unión; la cuantificación de estos efectos corresponde a una evaluación posterior a la implementación."</w:t>
            </w:r>
          </w:p>
        </w:tc>
      </w:tr>
      <w:tr>
        <w:tc>
          <w:tcPr>
            <w:tcW w:w="4680" w:type="dxa"/>
          </w:tcPr>
          <w:p>
            <w:pPr/>
            <w:r>
              <w:t xml:space="preserve">"El proyecto tiene como objetivo eliminar la exposición de la población, principalmente la comunidad escolar..."</w:t>
            </w:r>
          </w:p>
        </w:tc>
        <w:tc>
          <w:tcPr>
            <w:tcW w:w="4680" w:type="dxa"/>
          </w:tcPr>
          <w:p>
            <w:pPr/>
            <w:r>
              <w:t xml:space="preserve">"La propuesta busca ofrecer una alternativa de circulación para el tránsito pesado que hoy transita junto a cinco instituciones educativas con 3,602 alumnos, con el fin de reducir su exposición a material particulado, ruido y maniobras de vehículos pesados en intersecciones sin radios de giro adecuados."</w:t>
            </w:r>
          </w:p>
        </w:tc>
      </w:tr>
      <w:tr>
        <w:tc>
          <w:tcPr>
            <w:tcW w:w="4680" w:type="dxa"/>
          </w:tcPr>
          <w:p>
            <w:pPr/>
            <w:r>
              <w:t xml:space="preserve">"este diseño separará el tráfico del centro de la ciudad y mitigará el peligro existente"</w:t>
            </w:r>
          </w:p>
        </w:tc>
        <w:tc>
          <w:tcPr>
            <w:tcW w:w="4680" w:type="dxa"/>
          </w:tcPr>
          <w:p>
            <w:pPr/>
            <w:r>
              <w:t xml:space="preserve">"el diseño propone una ruta alterna que permitiría separar el tráfico de paso del centro de la ciudad y, con ello, atenuar el riesgo identificado en el diagnóstico"</w:t>
            </w:r>
          </w:p>
        </w:tc>
      </w:tr>
      <w:tr>
        <w:tc>
          <w:tcPr>
            <w:tcW w:w="4680" w:type="dxa"/>
          </w:tcPr>
          <w:p>
            <w:pPr/>
            <w:r>
              <w:t xml:space="preserve">"justifica técnicamente la necesidad imperativa de diseñar e implementar una verdadera vía de evitamiento perimetral, que segregue de manera definitiva el tráfico... salvaguarde la vida... y detenga la destrucción sistemática"</w:t>
            </w:r>
          </w:p>
        </w:tc>
        <w:tc>
          <w:tcPr>
            <w:tcW w:w="4680" w:type="dxa"/>
          </w:tcPr>
          <w:p>
            <w:pPr/>
            <w:r>
              <w:t xml:space="preserve">"sustenta técnicamente la pertinencia de diseñar una vía de evitamiento perimetral que segregue el tráfico de carga pesada del casco urbano, reduzca la exposición de los peatones y detenga el deterioro acelerado de la vía urbana"</w:t>
            </w:r>
          </w:p>
        </w:tc>
      </w:tr>
      <w:tr>
        <w:tc>
          <w:tcPr>
            <w:tcW w:w="4680" w:type="dxa"/>
          </w:tcPr>
          <w:p>
            <w:pPr/>
            <w:r>
              <w:t xml:space="preserve">Título del Anexo 6.2.1: "Herramienta de Recolección de Datos para la Justificación de la Vía de Evitamiento"</w:t>
            </w:r>
          </w:p>
        </w:tc>
        <w:tc>
          <w:tcPr>
            <w:tcW w:w="4680" w:type="dxa"/>
          </w:tcPr>
          <w:p>
            <w:pPr/>
            <w:r>
              <w:t xml:space="preserve">"Instrumento de diagnóstico del impacto del tránsito pesado en instituciones locales"</w:t>
            </w:r>
          </w:p>
        </w:tc>
      </w:tr>
    </w:tbl>
    <w:p>
      <w:pPr>
        <w:pStyle w:val="Heading3"/>
      </w:pPr>
      <w:r>
        <w:t xml:space="preserve">Observación 10. Indicadores que no corresponden a instrumentos de encuesta</w:t>
      </w:r>
    </w:p>
    <w:p>
      <w:pPr/>
      <w:r>
        <w:rPr>
          <w:b/>
        </w:rPr>
        <w:t xml:space="preserve">Lo que dice el jurado.</w:t>
      </w:r>
      <w:r>
        <w:t xml:space="preserve"> El diseño geométrico se verifica con planos, tablas y fichas de comprobación normativa, no con la percepción de los encuestados.</w:t>
      </w:r>
    </w:p>
    <w:p>
      <w:pPr/>
      <w:r>
        <w:rPr>
          <w:b/>
        </w:rPr>
        <w:t xml:space="preserve">Diagnóstico.</w:t>
      </w:r>
      <w:r>
        <w:t xml:space="preserve"> La Tabla 2 ya asigna instrumentos técnicos a todos los indicadores de diseño. La incoherencia está en tres lugares que rodean la matriz: la sección 3.1 (enfoque) dice que se aplicarán "cuestionarios estructurados para cuantificar el grado de impacto en las instituciones afectadas" como evidencia del enfoque cuantitativo; la sección 3.7 lista las encuestas de diagnóstico socioambiental entre las técnicas que "permitirán obtener la información base para definir el trazo y la geometría"; y la columna "Ítems/Preguntas" de la Tabla 2 está redactada como preguntas de cuestionario ("¿La velocidad de diseño propuesta cumple...?"), lo que sugiere al lector que alguien las responde.</w:t>
      </w:r>
    </w:p>
    <w:p>
      <w:pPr/>
      <w:r>
        <w:rPr>
          <w:b/>
        </w:rPr>
        <w:t xml:space="preserve">Solución.</w:t>
      </w:r>
    </w:p>
    <w:p>
      <w:pPr>
        <w:pStyle w:val="ListParagraph"/>
        <w:numPr>
          <w:ilvl w:val="0"/>
          <w:numId w:val="10"/>
        </w:numPr>
      </w:pPr>
      <w:r>
        <w:t xml:space="preserve">En la Tabla 2, renombrar la columna "Ítems/Preguntas" como "Criterio de verificación" y redactarla en afirmativo: "Vd adoptada dentro del rango de la Tabla 204.01 para la clase y orografía"; "R de proyecto ≥ R mín de la Tabla 302.02"; etc.</w:t>
      </w:r>
    </w:p>
    <w:p>
      <w:pPr>
        <w:pStyle w:val="ListParagraph"/>
        <w:numPr>
          <w:ilvl w:val="0"/>
          <w:numId w:val="10"/>
        </w:numPr>
      </w:pPr>
      <w:r>
        <w:t xml:space="preserve">Agregar a la Tabla 2 las dimensiones que faltan y que sí son objetivos: drenaje (indicador: caudal de diseño y capacidad hidráulica; instrumento: memoria hidrológica), obras de arte (indicador: galíbo y luz; instrumento: planos), señalización (indicador: conformidad de dispositivos; instrumento: ficha de verificación del Manual de Dispositivos 2024).</w:t>
      </w:r>
    </w:p>
    <w:p>
      <w:pPr>
        <w:pStyle w:val="ListParagraph"/>
        <w:numPr>
          <w:ilvl w:val="0"/>
          <w:numId w:val="10"/>
        </w:numPr>
      </w:pPr>
      <w:r>
        <w:t xml:space="preserve">En 3.1, reemplazar la frase sobre cuestionarios por: "El enfoque cuantitativo se evidencia en que todos los indicadores de diseño se miden en escalas de razón (veh/día, m, %, cm, ESAL) mediante conteos, levantamientos, ensayos de laboratorio y cálculos normados."</w:t>
      </w:r>
    </w:p>
    <w:p>
      <w:pPr>
        <w:pStyle w:val="ListParagraph"/>
        <w:numPr>
          <w:ilvl w:val="0"/>
          <w:numId w:val="10"/>
        </w:numPr>
      </w:pPr>
      <w:r>
        <w:t xml:space="preserve">En 3.7, separar las técnicas en dos grupos: (a) técnicas del diseño (observación directa, conteo vehicular clasificado, encuesta origen-destino, levantamiento topográfico, exploración geotécnica, ensayos de laboratorio, análisis en gabinete) y (b) técnica complementaria del diagnóstico de la realidad problemática (cuestionario a instituciones), indicando expresamente que la segunda no alimenta ningún indicador de la Tabla 2.</w:t>
      </w:r>
    </w:p>
    <w:p>
      <w:pPr>
        <w:pStyle w:val="ListParagraph"/>
        <w:numPr>
          <w:ilvl w:val="0"/>
          <w:numId w:val="10"/>
        </w:numPr>
      </w:pPr>
      <w:r>
        <w:t xml:space="preserve">Crear como anexo la </w:t>
      </w:r>
      <w:r>
        <w:rPr>
          <w:b/>
        </w:rPr>
        <w:t xml:space="preserve">Ficha de verificación normativa DG-2018</w:t>
      </w:r>
      <w:r>
        <w:t xml:space="preserve">, que es el instrumento que el jurado espera ver: una tabla con columnas parámetro, sección o tabla de la norma, valor normado, valor de proyecto, cumple sí/no, plano de referencia.</w:t>
      </w:r>
    </w:p>
    <w:p>
      <w:pPr>
        <w:pStyle w:val="Heading3"/>
      </w:pPr>
      <w:r>
        <w:t xml:space="preserve">Observación 11. Población y muestra por unidad de análisis</w:t>
      </w:r>
    </w:p>
    <w:p>
      <w:pPr/>
      <w:r>
        <w:rPr>
          <w:b/>
        </w:rPr>
        <w:t xml:space="preserve">Lo que dice el jurado.</w:t>
      </w:r>
      <w:r>
        <w:t xml:space="preserve"> El documento plantea como población los flujos vehiculares, pero además usa instituciones educativas y encuestas; son unidades de análisis diferentes y deben quedar diferenciadas.</w:t>
      </w:r>
    </w:p>
    <w:p>
      <w:pPr/>
      <w:r>
        <w:rPr>
          <w:b/>
        </w:rPr>
        <w:t xml:space="preserve">Diagnóstico.</w:t>
      </w:r>
      <w:r>
        <w:t xml:space="preserve"> La sección 3.5.1 define dos poblaciones (flujos vehiculares; franja de terreno) y la 3.5.2 tres muestras (3 estaciones, 5 calicatas, franja completa). Las instituciones educativas y los actores locales encuestados no aparecen en 3.5 pero sí en 3.7 y en el Anexo 6.2.1. Tampoco aparece la unidad de análisis hidrológica (microcuencas).</w:t>
      </w:r>
    </w:p>
    <w:p>
      <w:pPr/>
      <w:r>
        <w:rPr>
          <w:b/>
        </w:rPr>
        <w:t xml:space="preserve">Solución.</w:t>
      </w:r>
      <w:r>
        <w:t xml:space="preserve"> Redactar 3.5 como una tabla de unidades de análisis, con población, muestra, criterio y norma para cada una, y declarar la última como complementaria: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Unidad de análisis</w:t>
            </w:r>
          </w:p>
        </w:tc>
        <w:tc>
          <w:tcPr>
            <w:tcW w:w="1872" w:type="dxa"/>
            <w:shd w:val="clear" w:color="auto" w:fill="F2F2F2"/>
          </w:tcPr>
          <w:p>
            <w:pPr/>
            <w:r>
              <w:t xml:space="preserve">Población</w:t>
            </w:r>
          </w:p>
        </w:tc>
        <w:tc>
          <w:tcPr>
            <w:tcW w:w="1872" w:type="dxa"/>
            <w:shd w:val="clear" w:color="auto" w:fill="F2F2F2"/>
          </w:tcPr>
          <w:p>
            <w:pPr/>
            <w:r>
              <w:t xml:space="preserve">Muestra</w:t>
            </w:r>
          </w:p>
        </w:tc>
        <w:tc>
          <w:tcPr>
            <w:tcW w:w="1872" w:type="dxa"/>
            <w:shd w:val="clear" w:color="auto" w:fill="F2F2F2"/>
          </w:tcPr>
          <w:p>
            <w:pPr/>
            <w:r>
              <w:t xml:space="preserve">Criterio de selección y norma</w:t>
            </w:r>
          </w:p>
        </w:tc>
        <w:tc>
          <w:tcPr>
            <w:tcW w:w="1872" w:type="dxa"/>
            <w:shd w:val="clear" w:color="auto" w:fill="F2F2F2"/>
          </w:tcPr>
          <w:p>
            <w:pPr/>
            <w:r>
              <w:t xml:space="preserve">Uso en la tesis</w:t>
            </w:r>
          </w:p>
        </w:tc>
      </w:tr>
      <w:tr>
        <w:tc>
          <w:tcPr>
            <w:tcW w:w="1872" w:type="dxa"/>
          </w:tcPr>
          <w:p>
            <w:pPr/>
            <w:r>
              <w:t xml:space="preserve">Flujos vehiculares</w:t>
            </w:r>
          </w:p>
        </w:tc>
        <w:tc>
          <w:tcPr>
            <w:tcW w:w="1872" w:type="dxa"/>
          </w:tcPr>
          <w:p>
            <w:pPr/>
            <w:r>
              <w:t xml:space="preserve">Totalidad de vehículos que circulan por los ejes Carretera Bellavista, Av. Augusto B. Leguía y Av. Lima</w:t>
            </w:r>
          </w:p>
        </w:tc>
        <w:tc>
          <w:tcPr>
            <w:tcW w:w="1872" w:type="dxa"/>
          </w:tcPr>
          <w:p>
            <w:pPr/>
            <w:r>
              <w:t xml:space="preserve">Registros de 3 estaciones de conteo, 24 h durante 7 días consecutivos; encuesta origen-destino a conductores en las mismas estaciones</w:t>
            </w:r>
          </w:p>
        </w:tc>
        <w:tc>
          <w:tcPr>
            <w:tcW w:w="1872" w:type="dxa"/>
          </w:tcPr>
          <w:p>
            <w:pPr/>
            <w:r>
              <w:t xml:space="preserve">Una estación por tramo homogéneo (DG-2018); semana completa para el IMDS y factor de corrección estacional de la unidad de peaje más cercana</w:t>
            </w:r>
          </w:p>
        </w:tc>
        <w:tc>
          <w:tcPr>
            <w:tcW w:w="1872" w:type="dxa"/>
          </w:tcPr>
          <w:p>
            <w:pPr/>
            <w:r>
              <w:t xml:space="preserve">Diseño (OE1, OE3, OE4)</w:t>
            </w:r>
          </w:p>
        </w:tc>
      </w:tr>
      <w:tr>
        <w:tc>
          <w:tcPr>
            <w:tcW w:w="1872" w:type="dxa"/>
          </w:tcPr>
          <w:p>
            <w:pPr/>
            <w:r>
              <w:t xml:space="preserve">Franja de terreno del trazo</w:t>
            </w:r>
          </w:p>
        </w:tc>
        <w:tc>
          <w:tcPr>
            <w:tcW w:w="1872" w:type="dxa"/>
          </w:tcPr>
          <w:p>
            <w:pPr/>
            <w:r>
              <w:t xml:space="preserve">Derecho de vía del trazo de unos 5 km</w:t>
            </w:r>
          </w:p>
        </w:tc>
        <w:tc>
          <w:tcPr>
            <w:tcW w:w="1872" w:type="dxa"/>
          </w:tcPr>
          <w:p>
            <w:pPr/>
            <w:r>
              <w:t xml:space="preserve">Totalidad de la franja (topografía); calicatas y ensayos CBR con la densidad de los cuadros 4.1 y 4.2 del Manual de Suelos 2014 para la clase de carretera</w:t>
            </w:r>
          </w:p>
        </w:tc>
        <w:tc>
          <w:tcPr>
            <w:tcW w:w="1872" w:type="dxa"/>
          </w:tcPr>
          <w:p>
            <w:pPr/>
            <w:r>
              <w:t xml:space="preserve">Densidad normada por clase de carretera; profundidad mínima 1.50 m bajo subrasante</w:t>
            </w:r>
          </w:p>
        </w:tc>
        <w:tc>
          <w:tcPr>
            <w:tcW w:w="1872" w:type="dxa"/>
          </w:tcPr>
          <w:p>
            <w:pPr/>
            <w:r>
              <w:t xml:space="preserve">Diseño (OE2, OE3, OE4)</w:t>
            </w:r>
          </w:p>
        </w:tc>
      </w:tr>
      <w:tr>
        <w:tc>
          <w:tcPr>
            <w:tcW w:w="1872" w:type="dxa"/>
          </w:tcPr>
          <w:p>
            <w:pPr/>
            <w:r>
              <w:t xml:space="preserve">Microcuencas de aporte</w:t>
            </w:r>
          </w:p>
        </w:tc>
        <w:tc>
          <w:tcPr>
            <w:tcW w:w="1872" w:type="dxa"/>
          </w:tcPr>
          <w:p>
            <w:pPr/>
            <w:r>
              <w:t xml:space="preserve">Microcuencas que drenan hacia el trazo</w:t>
            </w:r>
          </w:p>
        </w:tc>
        <w:tc>
          <w:tcPr>
            <w:tcW w:w="1872" w:type="dxa"/>
          </w:tcPr>
          <w:p>
            <w:pPr/>
            <w:r>
              <w:t xml:space="preserve">Totalidad de las microcuencas interceptadas, delimitadas en el modelo digital del terreno</w:t>
            </w:r>
          </w:p>
        </w:tc>
        <w:tc>
          <w:tcPr>
            <w:tcW w:w="1872" w:type="dxa"/>
          </w:tcPr>
          <w:p>
            <w:pPr/>
            <w:r>
              <w:t xml:space="preserve">Manual de Hidrología 2011; Método Racional para áreas menores a 10 km²</w:t>
            </w:r>
          </w:p>
        </w:tc>
        <w:tc>
          <w:tcPr>
            <w:tcW w:w="1872" w:type="dxa"/>
          </w:tcPr>
          <w:p>
            <w:pPr/>
            <w:r>
              <w:t xml:space="preserve">Diseño (OE5, OE6)</w:t>
            </w:r>
          </w:p>
        </w:tc>
      </w:tr>
      <w:tr>
        <w:tc>
          <w:tcPr>
            <w:tcW w:w="1872" w:type="dxa"/>
          </w:tcPr>
          <w:p>
            <w:pPr/>
            <w:r>
              <w:t xml:space="preserve">Canteras y fuentes de agua</w:t>
            </w:r>
          </w:p>
        </w:tc>
        <w:tc>
          <w:tcPr>
            <w:tcW w:w="1872" w:type="dxa"/>
          </w:tcPr>
          <w:p>
            <w:pPr/>
            <w:r>
              <w:t xml:space="preserve">Canteras y fuentes de agua en el radio de influencia</w:t>
            </w:r>
          </w:p>
        </w:tc>
        <w:tc>
          <w:tcPr>
            <w:tcW w:w="1872" w:type="dxa"/>
          </w:tcPr>
          <w:p>
            <w:pPr/>
            <w:r>
              <w:t xml:space="preserve">Al menos una cantera y una fuente caracterizadas</w:t>
            </w:r>
          </w:p>
        </w:tc>
        <w:tc>
          <w:tcPr>
            <w:tcW w:w="1872" w:type="dxa"/>
          </w:tcPr>
          <w:p>
            <w:pPr/>
            <w:r>
              <w:t xml:space="preserve">Manual de Suelos 2014</w:t>
            </w:r>
          </w:p>
        </w:tc>
        <w:tc>
          <w:tcPr>
            <w:tcW w:w="1872" w:type="dxa"/>
          </w:tcPr>
          <w:p>
            <w:pPr/>
            <w:r>
              <w:t xml:space="preserve">Diseño (OE3)</w:t>
            </w:r>
          </w:p>
        </w:tc>
      </w:tr>
      <w:tr>
        <w:tc>
          <w:tcPr>
            <w:tcW w:w="1872" w:type="dxa"/>
          </w:tcPr>
          <w:p>
            <w:pPr/>
            <w:r>
              <w:t xml:space="preserve">Instituciones y actores locales (complementaria)</w:t>
            </w:r>
          </w:p>
        </w:tc>
        <w:tc>
          <w:tcPr>
            <w:tcW w:w="1872" w:type="dxa"/>
          </w:tcPr>
          <w:p>
            <w:pPr/>
            <w:r>
              <w:t xml:space="preserve">Instituciones educativas y de salud ubicadas sobre las calles Libertad, Unión, César Vallejo y Av. Lima</w:t>
            </w:r>
          </w:p>
        </w:tc>
        <w:tc>
          <w:tcPr>
            <w:tcW w:w="1872" w:type="dxa"/>
          </w:tcPr>
          <w:p>
            <w:pPr/>
            <w:r>
              <w:t xml:space="preserve">Censo de las 5 instituciones educativas identificadas (La Unión, La Capilla, Santa Bernardita, Sagrado Corazón de Jesús, Cruz del Norte) más establecimientos de salud del eje</w:t>
            </w:r>
          </w:p>
        </w:tc>
        <w:tc>
          <w:tcPr>
            <w:tcW w:w="1872" w:type="dxa"/>
          </w:tcPr>
          <w:p>
            <w:pPr/>
            <w:r>
              <w:t xml:space="preserve">Muestreo intencional por ubicación frente a la vía afectada</w:t>
            </w:r>
          </w:p>
        </w:tc>
        <w:tc>
          <w:tcPr>
            <w:tcW w:w="1872" w:type="dxa"/>
          </w:tcPr>
          <w:p>
            <w:pPr/>
            <w:r>
              <w:t xml:space="preserve">Solo diagnóstico de la realidad problemática (capítulo 1); no alimenta indicadores de diseño</w:t>
            </w:r>
          </w:p>
        </w:tc>
      </w:tr>
    </w:tbl>
    <w:p>
      <w:pPr/>
      <w:r>
        <w:t xml:space="preserve">Redacción propuesta para la frase de cierre de 3.5:</w:t>
      </w:r>
    </w:p>
    <w:p>
      <w:pPr>
        <w:pStyle w:val="Quote"/>
      </w:pPr>
      <w:r>
        <w:t xml:space="preserve">Las cuatro primeras unidades de análisis constituyen la población y muestra de la investigación propiamente dicha, pues de ellas se obtienen los datos de entrada del diseño. La unidad de instituciones y actores locales es complementaria: su función es documentar la realidad problemática y la pertinencia social del proyecto, y sus resultados no intervienen en la determinación de ningún parámetro geométrico o estructural.</w:t>
      </w:r>
    </w:p>
    <w:p>
      <w:pPr>
        <w:pStyle w:val="Heading3"/>
      </w:pPr>
      <w:r>
        <w:t xml:space="preserve">Observación 12. La encuesta no es fundamento del diseño estructural</w:t>
      </w:r>
    </w:p>
    <w:p>
      <w:pPr/>
      <w:r>
        <w:rPr>
          <w:b/>
        </w:rPr>
        <w:t xml:space="preserve">Lo que dice el jurado.</w:t>
      </w:r>
      <w:r>
        <w:t xml:space="preserve"> La necesidad del proyecto puede sustentarse socialmente con la encuesta, pero el diseño vial debe fundamentarse en datos de tránsito, topografía, geotecnia, hidrología y normativa.</w:t>
      </w:r>
    </w:p>
    <w:p>
      <w:pPr/>
      <w:r>
        <w:rPr>
          <w:b/>
        </w:rPr>
        <w:t xml:space="preserve">Diagnóstico.</w:t>
      </w:r>
      <w:r>
        <w:t xml:space="preserve"> El proyecto usa dos encuestas distintas que el documento no diferencia: la </w:t>
      </w:r>
      <w:r>
        <w:rPr>
          <w:b/>
        </w:rPr>
        <w:t xml:space="preserve">encuesta origen-destino</w:t>
      </w:r>
      <w:r>
        <w:t xml:space="preserve"> (Anexo 6.2.2), que es una técnica estándar del estudio de tráfico y sí es insumo de diseño (define el tránsito de paso que usará la vía), y el </w:t>
      </w:r>
      <w:r>
        <w:rPr>
          <w:b/>
        </w:rPr>
        <w:t xml:space="preserve">cuestionario a instituciones</w:t>
      </w:r>
      <w:r>
        <w:t xml:space="preserve"> (Anexo 6.2.1), que mide percepción de riesgo, ruido y polvo y solo sirve para el diagnóstico social. Al presentarse juntas en 3.1, 3.7 y 3.8 bajo la palabra "encuestas", el jurado entiende que la percepción sustenta el diseño.</w:t>
      </w:r>
    </w:p>
    <w:p>
      <w:pPr/>
      <w:r>
        <w:rPr>
          <w:b/>
        </w:rPr>
        <w:t xml:space="preserve">Solución.</w:t>
      </w:r>
    </w:p>
    <w:p>
      <w:pPr>
        <w:pStyle w:val="ListParagraph"/>
        <w:numPr>
          <w:ilvl w:val="0"/>
          <w:numId w:val="11"/>
        </w:numPr>
      </w:pPr>
      <w:r>
        <w:t xml:space="preserve">Nombrar siempre cada instrumento por su función: "encuesta origen-destino (estudio de tráfico)" y "cuestionario de diagnóstico institucional (realidad problemática)".</w:t>
      </w:r>
    </w:p>
    <w:p>
      <w:pPr>
        <w:pStyle w:val="ListParagraph"/>
        <w:numPr>
          <w:ilvl w:val="0"/>
          <w:numId w:val="11"/>
        </w:numPr>
      </w:pPr>
      <w:r>
        <w:t xml:space="preserve">Incluir en 3.6 un párrafo explícito de fundamento del diseño:</w:t>
      </w:r>
    </w:p>
    <w:p>
      <w:pPr>
        <w:pStyle w:val="Quote"/>
      </w:pPr>
      <w:r>
        <w:t xml:space="preserve">El diseño geométrico y estructural de la vía se fundamenta exclusivamente en los resultados de los estudios básicos de ingeniería (tráfico, topografía, mecánica de suelos, canteras, hidrología e hidráulica) y en la aplicación de la normativa del MTC y de la metodología AASHTO 93. El cuestionario de diagnóstico institucional se emplea únicamente para caracterizar la realidad problemática y sustentar la pertinencia social del proyecto, y ninguno de sus resultados constituye parámetro de entrada del diseño.</w:t>
      </w:r>
    </w:p>
    <w:p>
      <w:pPr>
        <w:pStyle w:val="ListParagraph"/>
        <w:numPr>
          <w:ilvl w:val="0"/>
          <w:numId w:val="12"/>
        </w:numPr>
      </w:pPr>
      <w:r>
        <w:t xml:space="preserve">Mover la descripción del cuestionario institucional del capítulo 3 al capítulo 1 (como fuente del diagnóstico) o a un apartado "3.7.3 Instrumento complementario de diagnóstico", y mantener en 3.8 el consentimiento informado, que sigue siendo necesario.</w:t>
      </w:r>
    </w:p>
    <w:p>
      <w:pPr>
        <w:pStyle w:val="ListParagraph"/>
        <w:numPr>
          <w:ilvl w:val="0"/>
          <w:numId w:val="12"/>
        </w:numPr>
      </w:pPr>
      <w:r>
        <w:t xml:space="preserve">Opción más simple si el jurado insiste: retirar el cuestionario institucional y sustentar la realidad problemática solo con datos secundarios (PDU 2020-2030, registros de la Policía Nacional sobre accidentes, registros de la UGEL sobre matrícula) y con el registro fotográfico ya incluido. Esta opción elimina la observación de raíz pero pierde evidencia primaria.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3"/>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Levantamiento de Observaciones – Proyecto de Tesis Malpartida Bayona</dc:title>
  <dc:description>Claude Docs node/354b5443-7050@14 docx-w6</dc:description>
  <cp:revision>14</cp:revision>
</cp:coreProperties>
</file>