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20" w:after="120"/>
      </w:pPr>
      <w:r>
        <w:rPr>
          <w:rFonts w:ascii="Calibri" w:hAnsi="Calibri"/>
          <w:b w:val="0"/>
          <w:sz w:val="22"/>
        </w:rPr>
      </w:r>
    </w:p>
    <w:p>
      <w:pPr>
        <w:jc w:val="center"/>
        <w:spacing w:before="120" w:after="120"/>
      </w:pPr>
      <w:r>
        <w:rPr>
          <w:rFonts w:ascii="Calibri" w:hAnsi="Calibri"/>
          <w:b w:val="0"/>
          <w:sz w:val="22"/>
        </w:rPr>
      </w:r>
    </w:p>
    <w:p>
      <w:pPr>
        <w:jc w:val="center"/>
        <w:spacing w:before="120" w:after="120"/>
      </w:pPr>
      <w:r>
        <w:rPr>
          <w:rFonts w:ascii="Calibri" w:hAnsi="Calibri"/>
          <w:b w:val="0"/>
          <w:sz w:val="22"/>
        </w:rPr>
      </w:r>
    </w:p>
    <w:p>
      <w:pPr>
        <w:jc w:val="center"/>
        <w:spacing w:before="0" w:after="80"/>
      </w:pPr>
      <w:r>
        <w:rPr>
          <w:rFonts w:ascii="Calibri" w:hAnsi="Calibri"/>
          <w:b/>
          <w:color w:val="1A3A6B"/>
          <w:sz w:val="32"/>
        </w:rPr>
        <w:t>Universidad Mariano Gálvez de Guatemala</w:t>
      </w:r>
    </w:p>
    <w:p>
      <w:pPr>
        <w:jc w:val="center"/>
        <w:spacing w:before="0" w:after="400"/>
      </w:pPr>
      <w:r>
        <w:rPr>
          <w:rFonts w:ascii="Calibri" w:hAnsi="Calibri"/>
          <w:b w:val="0"/>
          <w:color w:val="2E6DB4"/>
          <w:sz w:val="26"/>
        </w:rPr>
        <w:t>Facultad de Ingeniería en Sistemas de Información</w:t>
      </w:r>
    </w:p>
    <w:tbl>
      <w:tblPr>
        <w:tblW w:type="auto" w:w="0"/>
        <w:jc w:val="center"/>
        <w:tblLook w:firstColumn="1" w:firstRow="1" w:lastColumn="0" w:lastRow="0" w:noHBand="0" w:noVBand="1" w:val="04A0"/>
      </w:tblPr>
      <w:tblGrid>
        <w:gridCol w:w="9406"/>
      </w:tblGrid>
      <w:tr>
        <w:tc>
          <w:tcPr>
            <w:tcW w:type="dxa" w:w="9406"/>
            <w:tcBorders>
              <w:top w:val="none"/>
              <w:left w:val="none"/>
              <w:right w:val="none"/>
              <w:bottom w:val="single" w:sz="12" w:color="2E6DB4"/>
            </w:tcBorders>
          </w:tcPr>
          <w:p>
            <w:r/>
          </w:p>
        </w:tc>
      </w:tr>
    </w:tbl>
    <w:p>
      <w:pPr>
        <w:jc w:val="center"/>
        <w:spacing w:before="120" w:after="120"/>
      </w:pPr>
      <w:r>
        <w:rPr>
          <w:rFonts w:ascii="Calibri" w:hAnsi="Calibri"/>
          <w:b w:val="0"/>
          <w:sz w:val="16"/>
        </w:rPr>
      </w:r>
    </w:p>
    <w:p>
      <w:pPr>
        <w:jc w:val="center"/>
        <w:spacing w:before="120" w:after="120"/>
      </w:pPr>
      <w:r>
        <w:rPr>
          <w:rFonts w:ascii="Calibri" w:hAnsi="Calibri"/>
          <w:b w:val="0"/>
          <w:sz w:val="16"/>
        </w:rPr>
      </w:r>
    </w:p>
    <w:p>
      <w:pPr>
        <w:jc w:val="center"/>
        <w:spacing w:before="200" w:after="600"/>
      </w:pPr>
      <w:r>
        <w:rPr>
          <w:rFonts w:ascii="Calibri" w:hAnsi="Calibri"/>
          <w:b w:val="0"/>
          <w:color w:val="444444"/>
          <w:sz w:val="24"/>
        </w:rPr>
        <w:t>Taller de Tecnologías de la Información</w:t>
      </w:r>
    </w:p>
    <w:p>
      <w:pPr>
        <w:jc w:val="center"/>
        <w:spacing w:before="400" w:after="200"/>
      </w:pPr>
      <w:r>
        <w:rPr>
          <w:rFonts w:ascii="Calibri" w:hAnsi="Calibri"/>
          <w:b/>
          <w:color w:val="1A3A6B"/>
          <w:sz w:val="40"/>
        </w:rPr>
        <w:t>8° Entregable: Implementación y Documentación</w:t>
      </w:r>
    </w:p>
    <w:p>
      <w:pPr>
        <w:jc w:val="center"/>
        <w:spacing w:before="80" w:after="800"/>
      </w:pPr>
      <w:r>
        <w:rPr>
          <w:rFonts w:ascii="Calibri" w:hAnsi="Calibri"/>
          <w:b/>
          <w:color w:val="2E6DB4"/>
          <w:sz w:val="30"/>
        </w:rPr>
        <w:t>Kingsley Caps — Plataforma E-Commerce Multi-tenant</w:t>
      </w:r>
    </w:p>
    <w:p>
      <w:pPr>
        <w:jc w:val="center"/>
        <w:spacing w:before="120" w:after="120"/>
      </w:pPr>
      <w:r>
        <w:rPr>
          <w:rFonts w:ascii="Calibri" w:hAnsi="Calibri"/>
          <w:b w:val="0"/>
          <w:sz w:val="16"/>
        </w:rPr>
      </w:r>
    </w:p>
    <w:p>
      <w:pPr>
        <w:jc w:val="center"/>
        <w:spacing w:before="120" w:after="120"/>
      </w:pPr>
      <w:r>
        <w:rPr>
          <w:rFonts w:ascii="Calibri" w:hAnsi="Calibri"/>
          <w:b w:val="0"/>
          <w:sz w:val="16"/>
        </w:rPr>
      </w:r>
    </w:p>
    <w:p>
      <w:pPr>
        <w:jc w:val="center"/>
        <w:spacing w:before="120" w:after="40"/>
      </w:pPr>
      <w:r>
        <w:rPr>
          <w:rFonts w:ascii="Calibri" w:hAnsi="Calibri"/>
          <w:b/>
          <w:color w:val="222222"/>
          <w:sz w:val="26"/>
        </w:rPr>
        <w:t>Carlos Giovanni Martínez Aldana</w:t>
      </w:r>
    </w:p>
    <w:p>
      <w:pPr>
        <w:jc w:val="center"/>
        <w:spacing w:before="0" w:after="600"/>
      </w:pPr>
      <w:r>
        <w:rPr>
          <w:rFonts w:ascii="Calibri" w:hAnsi="Calibri"/>
          <w:b w:val="0"/>
          <w:color w:val="555555"/>
          <w:sz w:val="22"/>
        </w:rPr>
        <w:t>Carnet: 0909-22-19157</w:t>
      </w:r>
    </w:p>
    <w:p>
      <w:pPr>
        <w:jc w:val="center"/>
        <w:spacing w:before="120" w:after="120"/>
      </w:pPr>
      <w:r>
        <w:rPr>
          <w:rFonts w:ascii="Calibri" w:hAnsi="Calibri"/>
          <w:b w:val="0"/>
          <w:sz w:val="16"/>
        </w:rPr>
      </w:r>
    </w:p>
    <w:p>
      <w:pPr>
        <w:jc w:val="center"/>
        <w:spacing w:before="120" w:after="120"/>
      </w:pPr>
      <w:r>
        <w:rPr>
          <w:rFonts w:ascii="Calibri" w:hAnsi="Calibri"/>
          <w:b w:val="0"/>
          <w:sz w:val="16"/>
        </w:rPr>
      </w:r>
    </w:p>
    <w:p>
      <w:pPr>
        <w:jc w:val="center"/>
        <w:spacing w:before="200" w:after="0"/>
      </w:pPr>
      <w:r>
        <w:rPr>
          <w:rFonts w:ascii="Calibri" w:hAnsi="Calibri"/>
          <w:b w:val="0"/>
          <w:color w:val="666666"/>
          <w:sz w:val="24"/>
        </w:rPr>
        <w:t>Mayo 2026</w:t>
      </w:r>
    </w:p>
    <w:p>
      <w:r>
        <w:br w:type="page"/>
      </w:r>
    </w:p>
    <w:p>
      <w:pPr>
        <w:pStyle w:val="Heading1"/>
      </w:pPr>
      <w:r>
        <w:rPr>
          <w:rFonts w:ascii="Calibri" w:hAnsi="Calibri"/>
          <w:color w:val="1A3A6B"/>
        </w:rPr>
        <w:t>Índice de Contenidos</w:t>
      </w:r>
    </w:p>
    <w:p>
      <w:r>
        <w:rPr>
          <w:rFonts w:ascii="Calibri" w:hAnsi="Calibri"/>
          <w:sz w:val="22"/>
        </w:rPr>
        <w:t>1.  Introducción</w:t>
      </w:r>
    </w:p>
    <w:p>
      <w:r>
        <w:rPr>
          <w:rFonts w:ascii="Calibri" w:hAnsi="Calibri"/>
          <w:sz w:val="22"/>
        </w:rPr>
        <w:t>2.  Estrategia de Despliegue</w:t>
      </w:r>
    </w:p>
    <w:p>
      <w:r>
        <w:rPr>
          <w:rFonts w:ascii="Calibri" w:hAnsi="Calibri"/>
          <w:sz w:val="22"/>
        </w:rPr>
        <w:t>3.  Entornos</w:t>
      </w:r>
    </w:p>
    <w:p>
      <w:r>
        <w:rPr>
          <w:rFonts w:ascii="Calibri" w:hAnsi="Calibri"/>
          <w:sz w:val="22"/>
        </w:rPr>
        <w:t>4.  Criterios de Validación</w:t>
      </w:r>
    </w:p>
    <w:p>
      <w:r>
        <w:rPr>
          <w:rFonts w:ascii="Calibri" w:hAnsi="Calibri"/>
          <w:sz w:val="22"/>
        </w:rPr>
        <w:t>5.  Manual de Usuario</w:t>
      </w:r>
    </w:p>
    <w:p>
      <w:r>
        <w:rPr>
          <w:rFonts w:ascii="Calibri" w:hAnsi="Calibri"/>
          <w:sz w:val="22"/>
        </w:rPr>
        <w:t>6.  Manual Técnico</w:t>
      </w:r>
    </w:p>
    <w:p>
      <w:r>
        <w:rPr>
          <w:rFonts w:ascii="Calibri" w:hAnsi="Calibri"/>
          <w:sz w:val="22"/>
        </w:rPr>
        <w:t>7.  Conclusiones</w:t>
      </w:r>
    </w:p>
    <w:p>
      <w:r>
        <w:rPr>
          <w:rFonts w:ascii="Calibri" w:hAnsi="Calibri"/>
          <w:sz w:val="22"/>
        </w:rPr>
        <w:t>8.  Anexos</w:t>
      </w:r>
    </w:p>
    <w:p>
      <w:r>
        <w:rPr>
          <w:rFonts w:ascii="Calibri" w:hAnsi="Calibri"/>
          <w:sz w:val="22"/>
        </w:rPr>
        <w:t xml:space="preserve">         A: docker-compose.yml</w:t>
      </w:r>
    </w:p>
    <w:p>
      <w:r>
        <w:rPr>
          <w:rFonts w:ascii="Calibri" w:hAnsi="Calibri"/>
          <w:sz w:val="22"/>
        </w:rPr>
        <w:t xml:space="preserve">         B: nginx.conf</w:t>
      </w:r>
    </w:p>
    <w:p>
      <w:r>
        <w:rPr>
          <w:rFonts w:ascii="Calibri" w:hAnsi="Calibri"/>
          <w:sz w:val="22"/>
        </w:rPr>
        <w:t xml:space="preserve">         C: Dockerfiles</w:t>
      </w:r>
    </w:p>
    <w:p>
      <w:r>
        <w:rPr>
          <w:rFonts w:ascii="Calibri" w:hAnsi="Calibri"/>
          <w:sz w:val="22"/>
        </w:rPr>
        <w:t xml:space="preserve">         D: Variables de Entorno</w:t>
      </w:r>
    </w:p>
    <w:p>
      <w:r>
        <w:rPr>
          <w:rFonts w:ascii="Calibri" w:hAnsi="Calibri"/>
          <w:sz w:val="22"/>
        </w:rPr>
        <w:t xml:space="preserve">         E: Esquema de Base de Datos</w:t>
      </w:r>
    </w:p>
    <w:p>
      <w:r>
        <w:br w:type="page"/>
      </w:r>
    </w:p>
    <w:p>
      <w:pPr>
        <w:pStyle w:val="Heading1"/>
      </w:pPr>
      <w:r>
        <w:rPr>
          <w:rFonts w:ascii="Calibri" w:hAnsi="Calibri"/>
          <w:color w:val="1A3A6B"/>
        </w:rPr>
        <w:t>1. Introducción</w:t>
      </w:r>
    </w:p>
    <w:p>
      <w:r>
        <w:rPr>
          <w:rFonts w:ascii="Calibri" w:hAnsi="Calibri"/>
          <w:b w:val="0"/>
          <w:i w:val="0"/>
          <w:sz w:val="22"/>
        </w:rPr>
        <w:t>El presente documento constituye el octavo y último entregable del proyecto Kingsley Caps, una plataforma de comercio electrónico multi-tenant desarrollada como trabajo integrador del curso Taller de Tecnologías de la Información. El módulo implementado por Carlos Giovanni Martínez Aldana comprende la infraestructura base del servidor, el modelo de datos completo (13 entidades Sequelize con migraciones versionadas), y cuatro APIs RESTful: tiendas, productos, carrito de compras y órdenes. El frontend del panel de vendedor (Dashboard, Productos, Órdenes) fue desarrollado en React 18 con Vite 5 y Tailwind CSS.</w:t>
      </w:r>
    </w:p>
    <w:p>
      <w:pPr>
        <w:pStyle w:val="Heading2"/>
      </w:pPr>
      <w:r>
        <w:rPr>
          <w:rFonts w:ascii="Calibri" w:hAnsi="Calibri"/>
          <w:color w:val="2E6DB4"/>
        </w:rPr>
        <w:t>1.1 Alcance del módulo</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Feature</w:t>
            </w:r>
          </w:p>
        </w:tc>
        <w:tc>
          <w:tcPr>
            <w:tcW w:type="dxa" w:w="2551"/>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Componente</w:t>
            </w:r>
          </w:p>
        </w:tc>
        <w:tc>
          <w:tcPr>
            <w:tcW w:type="dxa" w:w="4819"/>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Descripción</w:t>
            </w:r>
          </w:p>
        </w:tc>
      </w:tr>
      <w:tr>
        <w:tc>
          <w:tcPr>
            <w:tcW w:type="dxa" w:w="198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Feature 1</w:t>
            </w:r>
          </w:p>
        </w:tc>
        <w:tc>
          <w:tcPr>
            <w:tcW w:type="dxa" w:w="2551"/>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Infraestructura</w:t>
            </w:r>
          </w:p>
        </w:tc>
        <w:tc>
          <w:tcPr>
            <w:tcW w:type="dxa" w:w="481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Express app, middleware stack, error handling, logging con Winston</w:t>
            </w:r>
          </w:p>
        </w:tc>
      </w:tr>
      <w:tr>
        <w:tc>
          <w:tcPr>
            <w:tcW w:type="dxa" w:w="1984"/>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Feature 2</w:t>
            </w:r>
          </w:p>
        </w:tc>
        <w:tc>
          <w:tcPr>
            <w:tcW w:type="dxa" w:w="2551"/>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Modelos de datos</w:t>
            </w:r>
          </w:p>
        </w:tc>
        <w:tc>
          <w:tcPr>
            <w:tcW w:type="dxa" w:w="4819"/>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13 modelos Sequelize + 10 migraciones + seeds</w:t>
            </w:r>
          </w:p>
        </w:tc>
      </w:tr>
      <w:tr>
        <w:tc>
          <w:tcPr>
            <w:tcW w:type="dxa" w:w="198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Feature 3</w:t>
            </w:r>
          </w:p>
        </w:tc>
        <w:tc>
          <w:tcPr>
            <w:tcW w:type="dxa" w:w="2551"/>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API de Tiendas</w:t>
            </w:r>
          </w:p>
        </w:tc>
        <w:tc>
          <w:tcPr>
            <w:tcW w:type="dxa" w:w="481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CRUD completo + configuración crypto (ETH)</w:t>
            </w:r>
          </w:p>
        </w:tc>
      </w:tr>
      <w:tr>
        <w:tc>
          <w:tcPr>
            <w:tcW w:type="dxa" w:w="1984"/>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Feature 4</w:t>
            </w:r>
          </w:p>
        </w:tc>
        <w:tc>
          <w:tcPr>
            <w:tcW w:type="dxa" w:w="2551"/>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API de Productos</w:t>
            </w:r>
          </w:p>
        </w:tc>
        <w:tc>
          <w:tcPr>
            <w:tcW w:type="dxa" w:w="4819"/>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Listado público + gestión de variantes con stock</w:t>
            </w:r>
          </w:p>
        </w:tc>
      </w:tr>
      <w:tr>
        <w:tc>
          <w:tcPr>
            <w:tcW w:type="dxa" w:w="198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Feature 5</w:t>
            </w:r>
          </w:p>
        </w:tc>
        <w:tc>
          <w:tcPr>
            <w:tcW w:type="dxa" w:w="2551"/>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API de Carrito</w:t>
            </w:r>
          </w:p>
        </w:tc>
        <w:tc>
          <w:tcPr>
            <w:tcW w:type="dxa" w:w="481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Operaciones atómicas con verificación de stock</w:t>
            </w:r>
          </w:p>
        </w:tc>
      </w:tr>
      <w:tr>
        <w:tc>
          <w:tcPr>
            <w:tcW w:type="dxa" w:w="1984"/>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Feature 6</w:t>
            </w:r>
          </w:p>
        </w:tc>
        <w:tc>
          <w:tcPr>
            <w:tcW w:type="dxa" w:w="2551"/>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API de Órdenes</w:t>
            </w:r>
          </w:p>
        </w:tc>
        <w:tc>
          <w:tcPr>
            <w:tcW w:type="dxa" w:w="4819"/>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Checkout atómico, máquina de estados, cancelación con restock</w:t>
            </w:r>
          </w:p>
        </w:tc>
      </w:tr>
      <w:tr>
        <w:tc>
          <w:tcPr>
            <w:tcW w:type="dxa" w:w="198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Feature 7</w:t>
            </w:r>
          </w:p>
        </w:tc>
        <w:tc>
          <w:tcPr>
            <w:tcW w:type="dxa" w:w="2551"/>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Panel Vendedor</w:t>
            </w:r>
          </w:p>
        </w:tc>
        <w:tc>
          <w:tcPr>
            <w:tcW w:type="dxa" w:w="481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Dashboard, tabla de productos, gestión de órdenes con guías</w:t>
            </w:r>
          </w:p>
        </w:tc>
      </w:tr>
    </w:tbl>
    <w:p>
      <w:r>
        <w:br w:type="page"/>
      </w:r>
    </w:p>
    <w:p>
      <w:pPr>
        <w:pStyle w:val="Heading1"/>
      </w:pPr>
      <w:r>
        <w:rPr>
          <w:rFonts w:ascii="Calibri" w:hAnsi="Calibri"/>
          <w:color w:val="1A3A6B"/>
        </w:rPr>
        <w:t>2. Estrategia de Despliegue</w:t>
      </w:r>
    </w:p>
    <w:p>
      <w:r>
        <w:rPr>
          <w:rFonts w:ascii="Calibri" w:hAnsi="Calibri"/>
          <w:b w:val="0"/>
          <w:i w:val="0"/>
          <w:sz w:val="22"/>
        </w:rPr>
        <w:t>La plataforma adopta una arquitectura de microservicios ligeros orquestada con Docker Compose. Nginx actúa como reverse proxy único recibiendo todo el tráfico externo en el puerto 443 (HTTPS) y distribuyéndolo hacia los servicios internos según el prefijo de ruta.</w:t>
      </w:r>
    </w:p>
    <w:p>
      <w:pPr>
        <w:pStyle w:val="Heading2"/>
      </w:pPr>
      <w:r>
        <w:rPr>
          <w:rFonts w:ascii="Calibri" w:hAnsi="Calibri"/>
          <w:color w:val="2E6DB4"/>
        </w:rPr>
        <w:t>2.1 Diagrama de servicios</w:t>
      </w:r>
    </w:p>
    <w:p>
      <w:r>
        <w:rPr>
          <w:rFonts w:ascii="Calibri" w:hAnsi="Calibri"/>
          <w:b w:val="0"/>
          <w:i w:val="0"/>
          <w:sz w:val="22"/>
        </w:rPr>
        <w:t>El stack se compone de ocho servicios Docker:</w:t>
      </w:r>
    </w:p>
    <w:p>
      <w:pPr>
        <w:pStyle w:val="ListNumber"/>
      </w:pPr>
      <w:r>
        <w:rPr>
          <w:rFonts w:ascii="Calibri" w:hAnsi="Calibri"/>
          <w:sz w:val="22"/>
        </w:rPr>
        <w:t>postgres — PostgreSQL 15 (base de datos compartida del equipo)</w:t>
      </w:r>
    </w:p>
    <w:p>
      <w:pPr>
        <w:pStyle w:val="ListNumber"/>
      </w:pPr>
      <w:r>
        <w:rPr>
          <w:rFonts w:ascii="Calibri" w:hAnsi="Calibri"/>
          <w:sz w:val="22"/>
        </w:rPr>
        <w:t>redis — Redis 7 (almacén de refresh tokens y caché)</w:t>
      </w:r>
    </w:p>
    <w:p>
      <w:pPr>
        <w:pStyle w:val="ListNumber"/>
      </w:pPr>
      <w:r>
        <w:rPr>
          <w:rFonts w:ascii="Calibri" w:hAnsi="Calibri"/>
          <w:sz w:val="22"/>
        </w:rPr>
        <w:t>pgadmin — PgAdmin 4 (herramienta de administración, perfil tools)</w:t>
      </w:r>
    </w:p>
    <w:p>
      <w:pPr>
        <w:pStyle w:val="ListNumber"/>
      </w:pPr>
      <w:r>
        <w:rPr>
          <w:rFonts w:ascii="Calibri" w:hAnsi="Calibri"/>
          <w:sz w:val="22"/>
        </w:rPr>
        <w:t>auth-service — Servicio de autenticación Node.js en puerto 3001</w:t>
      </w:r>
    </w:p>
    <w:p>
      <w:pPr>
        <w:pStyle w:val="ListNumber"/>
      </w:pPr>
      <w:r>
        <w:rPr>
          <w:rFonts w:ascii="Calibri" w:hAnsi="Calibri"/>
          <w:sz w:val="22"/>
        </w:rPr>
        <w:t>backend-api — API comercial de Carlos en puerto 3002</w:t>
      </w:r>
    </w:p>
    <w:p>
      <w:pPr>
        <w:pStyle w:val="ListNumber"/>
      </w:pPr>
      <w:r>
        <w:rPr>
          <w:rFonts w:ascii="Calibri" w:hAnsi="Calibri"/>
          <w:sz w:val="22"/>
        </w:rPr>
        <w:t>ia-service — Motor IA anti-fraude Python/FastAPI en puerto 8000</w:t>
      </w:r>
    </w:p>
    <w:p>
      <w:pPr>
        <w:pStyle w:val="ListNumber"/>
      </w:pPr>
      <w:r>
        <w:rPr>
          <w:rFonts w:ascii="Calibri" w:hAnsi="Calibri"/>
          <w:sz w:val="22"/>
        </w:rPr>
        <w:t>frontend — Aplicación React servida por Nginx estático en puerto 80</w:t>
      </w:r>
    </w:p>
    <w:p>
      <w:pPr>
        <w:pStyle w:val="ListNumber"/>
      </w:pPr>
      <w:r>
        <w:rPr>
          <w:rFonts w:ascii="Calibri" w:hAnsi="Calibri"/>
          <w:sz w:val="22"/>
        </w:rPr>
        <w:t>nginx — Reverse proxy en puertos 80/443</w:t>
      </w:r>
    </w:p>
    <w:p>
      <w:pPr>
        <w:pStyle w:val="Heading2"/>
      </w:pPr>
      <w:r>
        <w:rPr>
          <w:rFonts w:ascii="Calibri" w:hAnsi="Calibri"/>
          <w:color w:val="2E6DB4"/>
        </w:rPr>
        <w:t>2.2 Flujo de enrutamiento Nginx</w:t>
      </w:r>
    </w:p>
    <w:p>
      <w:r>
        <w:rPr>
          <w:rFonts w:ascii="Calibri" w:hAnsi="Calibri"/>
          <w:b w:val="0"/>
          <w:i w:val="0"/>
          <w:sz w:val="22"/>
        </w:rPr>
        <w:t>Las reglas de proxy se definen así:</w:t>
      </w:r>
    </w:p>
    <w:tbl>
      <w:tblPr>
        <w:tblStyle w:val="TableGrid"/>
        <w:tblW w:type="auto" w:w="0"/>
        <w:jc w:val="left"/>
        <w:tblLook w:firstColumn="1" w:firstRow="1" w:lastColumn="0" w:lastRow="0" w:noHBand="0" w:noVBand="1" w:val="04A0"/>
      </w:tblPr>
      <w:tblGrid>
        <w:gridCol w:w="4703"/>
        <w:gridCol w:w="4703"/>
      </w:tblGrid>
      <w:tr>
        <w:tc>
          <w:tcPr>
            <w:tcW w:type="dxa" w:w="3969"/>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Patrón de URL</w:t>
            </w:r>
          </w:p>
        </w:tc>
        <w:tc>
          <w:tcPr>
            <w:tcW w:type="dxa" w:w="5386"/>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Upstream destino</w:t>
            </w:r>
          </w:p>
        </w:tc>
      </w:tr>
      <w:tr>
        <w:tc>
          <w:tcPr>
            <w:tcW w:type="dxa" w:w="396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/api/auth/*</w:t>
            </w:r>
          </w:p>
        </w:tc>
        <w:tc>
          <w:tcPr>
            <w:tcW w:type="dxa" w:w="53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auth-service:3001</w:t>
            </w:r>
          </w:p>
        </w:tc>
      </w:tr>
      <w:tr>
        <w:tc>
          <w:tcPr>
            <w:tcW w:type="dxa" w:w="3969"/>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/api/*</w:t>
            </w:r>
          </w:p>
        </w:tc>
        <w:tc>
          <w:tcPr>
            <w:tcW w:type="dxa" w:w="5386"/>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backend-api:3002</w:t>
            </w:r>
          </w:p>
        </w:tc>
      </w:tr>
      <w:tr>
        <w:tc>
          <w:tcPr>
            <w:tcW w:type="dxa" w:w="396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/ia/*</w:t>
            </w:r>
          </w:p>
        </w:tc>
        <w:tc>
          <w:tcPr>
            <w:tcW w:type="dxa" w:w="538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ia-service:8000</w:t>
            </w:r>
          </w:p>
        </w:tc>
      </w:tr>
      <w:tr>
        <w:tc>
          <w:tcPr>
            <w:tcW w:type="dxa" w:w="3969"/>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w:t>
            </w:r>
          </w:p>
        </w:tc>
        <w:tc>
          <w:tcPr>
            <w:tcW w:type="dxa" w:w="5386"/>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frontend:80</w:t>
            </w:r>
          </w:p>
        </w:tc>
      </w:tr>
    </w:tbl>
    <w:p>
      <w:pPr>
        <w:pStyle w:val="Heading2"/>
      </w:pPr>
      <w:r>
        <w:rPr>
          <w:rFonts w:ascii="Calibri" w:hAnsi="Calibri"/>
          <w:color w:val="2E6DB4"/>
        </w:rPr>
        <w:t>2.3 Estrategia de ramas Git</w:t>
      </w:r>
    </w:p>
    <w:p>
      <w:r>
        <w:rPr>
          <w:rFonts w:ascii="Calibri" w:hAnsi="Calibri"/>
          <w:b w:val="0"/>
          <w:i w:val="0"/>
          <w:sz w:val="22"/>
        </w:rPr>
        <w:t>El equipo sigue el flujo Gitflow adaptado:</w:t>
      </w:r>
    </w:p>
    <w:p>
      <w:pPr>
        <w:pStyle w:val="ListBullet"/>
      </w:pPr>
      <w:r>
        <w:rPr>
          <w:rFonts w:ascii="Calibri" w:hAnsi="Calibri"/>
          <w:sz w:val="22"/>
        </w:rPr>
        <w:t>main — rama de producción, sólo recibe merges desde release/*</w:t>
      </w:r>
    </w:p>
    <w:p>
      <w:pPr>
        <w:pStyle w:val="ListBullet"/>
      </w:pPr>
      <w:r>
        <w:rPr>
          <w:rFonts w:ascii="Calibri" w:hAnsi="Calibri"/>
          <w:sz w:val="22"/>
        </w:rPr>
        <w:t>dev/[nombre] — rama de desarrollo personal de cada integrante</w:t>
      </w:r>
    </w:p>
    <w:p>
      <w:pPr>
        <w:pStyle w:val="ListBullet"/>
      </w:pPr>
      <w:r>
        <w:rPr>
          <w:rFonts w:ascii="Calibri" w:hAnsi="Calibri"/>
          <w:sz w:val="22"/>
        </w:rPr>
        <w:t>release/* — rama de integración previa a producción</w:t>
      </w:r>
    </w:p>
    <w:p>
      <w:pPr>
        <w:pStyle w:val="ListBullet"/>
      </w:pPr>
      <w:r>
        <w:rPr>
          <w:rFonts w:ascii="Calibri" w:hAnsi="Calibri"/>
          <w:sz w:val="22"/>
        </w:rPr>
        <w:t>hotfix/* — correcciones urgentes directamente desde main</w:t>
      </w:r>
    </w:p>
    <w:p>
      <w:r>
        <w:rPr>
          <w:rFonts w:ascii="Calibri" w:hAnsi="Calibri"/>
          <w:b w:val="0"/>
          <w:i w:val="0"/>
          <w:sz w:val="22"/>
        </w:rPr>
        <w:t>Carlos trabaja exclusivamente en la rama dev/carlos. Los commits siguen el estándar Conventional Commits (feat, fix, chore, docs, test) con alcance entre paréntesis, por ejemplo: feat(orders): implement atomic checkout with stock reservation.</w:t>
      </w:r>
    </w:p>
    <w:p>
      <w:r>
        <w:br w:type="page"/>
      </w:r>
    </w:p>
    <w:p>
      <w:pPr>
        <w:pStyle w:val="Heading1"/>
      </w:pPr>
      <w:r>
        <w:rPr>
          <w:rFonts w:ascii="Calibri" w:hAnsi="Calibri"/>
          <w:color w:val="1A3A6B"/>
        </w:rPr>
        <w:t>3. Entornos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Componente</w:t>
            </w:r>
          </w:p>
        </w:tc>
        <w:tc>
          <w:tcPr>
            <w:tcW w:type="dxa" w:w="2551"/>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Desarrollo</w:t>
            </w:r>
          </w:p>
        </w:tc>
        <w:tc>
          <w:tcPr>
            <w:tcW w:type="dxa" w:w="2835"/>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Staging</w:t>
            </w:r>
          </w:p>
        </w:tc>
        <w:tc>
          <w:tcPr>
            <w:tcW w:type="dxa" w:w="2835"/>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Producción</w:t>
            </w:r>
          </w:p>
        </w:tc>
      </w:tr>
      <w:tr>
        <w:tc>
          <w:tcPr>
            <w:tcW w:type="dxa" w:w="226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Base de datos</w:t>
            </w:r>
          </w:p>
        </w:tc>
        <w:tc>
          <w:tcPr>
            <w:tcW w:type="dxa" w:w="2551"/>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PostgreSQL local (Docker)</w:t>
            </w:r>
          </w:p>
        </w:tc>
        <w:tc>
          <w:tcPr>
            <w:tcW w:type="dxa" w:w="2835"/>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Supabase proyecto staging</w:t>
            </w:r>
          </w:p>
        </w:tc>
        <w:tc>
          <w:tcPr>
            <w:tcW w:type="dxa" w:w="2835"/>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Supabase proyecto prod</w:t>
            </w:r>
          </w:p>
        </w:tc>
      </w:tr>
      <w:tr>
        <w:tc>
          <w:tcPr>
            <w:tcW w:type="dxa" w:w="226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API URL</w:t>
            </w:r>
          </w:p>
        </w:tc>
        <w:tc>
          <w:tcPr>
            <w:tcW w:type="dxa" w:w="2551"/>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http://localhost:3002</w:t>
            </w:r>
          </w:p>
        </w:tc>
        <w:tc>
          <w:tcPr>
            <w:tcW w:type="dxa" w:w="2835"/>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https://staging-api.kingsley.gt</w:t>
            </w:r>
          </w:p>
        </w:tc>
        <w:tc>
          <w:tcPr>
            <w:tcW w:type="dxa" w:w="2835"/>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https://api.kingsley.gt</w:t>
            </w:r>
          </w:p>
        </w:tc>
      </w:tr>
      <w:tr>
        <w:tc>
          <w:tcPr>
            <w:tcW w:type="dxa" w:w="226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Frontend URL</w:t>
            </w:r>
          </w:p>
        </w:tc>
        <w:tc>
          <w:tcPr>
            <w:tcW w:type="dxa" w:w="2551"/>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http://localhost:5174</w:t>
            </w:r>
          </w:p>
        </w:tc>
        <w:tc>
          <w:tcPr>
            <w:tcW w:type="dxa" w:w="2835"/>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https://staging.kingsley.gt</w:t>
            </w:r>
          </w:p>
        </w:tc>
        <w:tc>
          <w:tcPr>
            <w:tcW w:type="dxa" w:w="2835"/>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https://kingsley.gt</w:t>
            </w:r>
          </w:p>
        </w:tc>
      </w:tr>
      <w:tr>
        <w:tc>
          <w:tcPr>
            <w:tcW w:type="dxa" w:w="226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Red Ethereum</w:t>
            </w:r>
          </w:p>
        </w:tc>
        <w:tc>
          <w:tcPr>
            <w:tcW w:type="dxa" w:w="2551"/>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Sepolia Testnet</w:t>
            </w:r>
          </w:p>
        </w:tc>
        <w:tc>
          <w:tcPr>
            <w:tcW w:type="dxa" w:w="2835"/>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Sepolia Testnet</w:t>
            </w:r>
          </w:p>
        </w:tc>
        <w:tc>
          <w:tcPr>
            <w:tcW w:type="dxa" w:w="2835"/>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Ethereum Mainnet</w:t>
            </w:r>
          </w:p>
        </w:tc>
      </w:tr>
      <w:tr>
        <w:tc>
          <w:tcPr>
            <w:tcW w:type="dxa" w:w="226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Logs</w:t>
            </w:r>
          </w:p>
        </w:tc>
        <w:tc>
          <w:tcPr>
            <w:tcW w:type="dxa" w:w="2551"/>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Consola (simple)</w:t>
            </w:r>
          </w:p>
        </w:tc>
        <w:tc>
          <w:tcPr>
            <w:tcW w:type="dxa" w:w="2835"/>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JSON → archivo</w:t>
            </w:r>
          </w:p>
        </w:tc>
        <w:tc>
          <w:tcPr>
            <w:tcW w:type="dxa" w:w="2835"/>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JSON → agregador (Loki)</w:t>
            </w:r>
          </w:p>
        </w:tc>
      </w:tr>
      <w:tr>
        <w:tc>
          <w:tcPr>
            <w:tcW w:type="dxa" w:w="226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Rate limiting</w:t>
            </w:r>
          </w:p>
        </w:tc>
        <w:tc>
          <w:tcPr>
            <w:tcW w:type="dxa" w:w="2551"/>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Deshabilitado</w:t>
            </w:r>
          </w:p>
        </w:tc>
        <w:tc>
          <w:tcPr>
            <w:tcW w:type="dxa" w:w="2835"/>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Habilitado (permisivo)</w:t>
            </w:r>
          </w:p>
        </w:tc>
        <w:tc>
          <w:tcPr>
            <w:tcW w:type="dxa" w:w="2835"/>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Habilitado (estricto)</w:t>
            </w:r>
          </w:p>
        </w:tc>
      </w:tr>
    </w:tbl>
    <w:p>
      <w:pPr>
        <w:pStyle w:val="Heading2"/>
      </w:pPr>
      <w:r>
        <w:rPr>
          <w:rFonts w:ascii="Calibri" w:hAnsi="Calibri"/>
          <w:color w:val="2E6DB4"/>
        </w:rPr>
        <w:t>3.1 Inicio rápido en desarrollo</w:t>
      </w:r>
    </w:p>
    <w:p>
      <w:r>
        <w:rPr>
          <w:rFonts w:ascii="Calibri" w:hAnsi="Calibri"/>
          <w:b w:val="0"/>
          <w:i w:val="0"/>
          <w:sz w:val="22"/>
        </w:rPr>
        <w:t>Para levantar el entorno local completo:</w:t>
      </w:r>
    </w:p>
    <w:p>
      <w:pPr>
        <w:shd w:val="clear" w:color="auto" w:fill="F5F5F5"/>
        <w:pBdr>
          <w:top w:val="single" w:sz="4" w:space="1" w:color="CCCCCC"/>
          <w:left w:val="single" w:sz="4" w:space="4" w:color="CCCCCC"/>
          <w:bottom w:val="single" w:sz="4" w:space="1" w:color="CCCCCC"/>
          <w:right w:val="single" w:sz="4" w:space="4" w:color="CCCCCC"/>
        </w:pBdr>
        <w:spacing w:before="60" w:after="60"/>
      </w:pPr>
      <w:r>
        <w:rPr>
          <w:rFonts w:ascii="Courier New" w:hAnsi="Courier New"/>
          <w:color w:val="1F1F1F"/>
          <w:sz w:val="16"/>
        </w:rPr>
        <w:t># 1. Clonar el repositorio</w:t>
        <w:br/>
        <w:t>git clone https://github.com/andy13k/kingsley-caps.git</w:t>
        <w:br/>
        <w:t>cd kingsley-caps</w:t>
        <w:br/>
        <w:br/>
        <w:t># 2. Configurar variables de entorno</w:t>
        <w:br/>
        <w:t>cp server/.env.example server/.env</w:t>
        <w:br/>
        <w:t>cp client/.env.example client/.env</w:t>
        <w:br/>
        <w:t># Editar ambos archivos con los valores reales</w:t>
        <w:br/>
        <w:br/>
        <w:t># 3. Levantar servicios de infraestructura</w:t>
        <w:br/>
        <w:t>docker compose up postgres redis -d</w:t>
        <w:br/>
        <w:br/>
        <w:t># 4. Ejecutar migraciones y seeds</w:t>
        <w:br/>
        <w:t>cd server</w:t>
        <w:br/>
        <w:t>npm install</w:t>
        <w:br/>
        <w:t>npx sequelize-cli db:migrate</w:t>
        <w:br/>
        <w:t>npx sequelize-cli db:seed:all</w:t>
        <w:br/>
        <w:br/>
        <w:t># 5. Iniciar el backend</w:t>
        <w:br/>
        <w:t>npm run dev</w:t>
        <w:br/>
        <w:br/>
        <w:t># 6. En otra terminal, iniciar el frontend</w:t>
        <w:br/>
        <w:t>cd ../client</w:t>
        <w:br/>
        <w:t>npm install</w:t>
        <w:br/>
        <w:t>npm run dev</w:t>
      </w:r>
    </w:p>
    <w:p>
      <w:r>
        <w:br w:type="page"/>
      </w:r>
    </w:p>
    <w:p>
      <w:pPr>
        <w:pStyle w:val="Heading1"/>
      </w:pPr>
      <w:r>
        <w:rPr>
          <w:rFonts w:ascii="Calibri" w:hAnsi="Calibri"/>
          <w:color w:val="1A3A6B"/>
        </w:rPr>
        <w:t>4. Criterios de Validación</w:t>
      </w:r>
    </w:p>
    <w:p>
      <w:pPr>
        <w:pStyle w:val="Heading2"/>
      </w:pPr>
      <w:r>
        <w:rPr>
          <w:rFonts w:ascii="Calibri" w:hAnsi="Calibri"/>
          <w:color w:val="2E6DB4"/>
        </w:rPr>
        <w:t>4.1 Flujo E2E: Compra completa (14 pasos)</w:t>
      </w:r>
    </w:p>
    <w:p>
      <w:pPr>
        <w:pStyle w:val="ListNumber"/>
      </w:pPr>
      <w:r>
        <w:rPr>
          <w:rFonts w:ascii="Calibri" w:hAnsi="Calibri"/>
          <w:sz w:val="22"/>
        </w:rPr>
        <w:t>POST /api/auth/register — Crear cuenta de cliente</w:t>
      </w:r>
    </w:p>
    <w:p>
      <w:pPr>
        <w:pStyle w:val="ListNumber"/>
      </w:pPr>
      <w:r>
        <w:rPr>
          <w:rFonts w:ascii="Calibri" w:hAnsi="Calibri"/>
          <w:sz w:val="22"/>
        </w:rPr>
        <w:t>POST /api/auth/login — Obtener access token + refresh token</w:t>
      </w:r>
    </w:p>
    <w:p>
      <w:pPr>
        <w:pStyle w:val="ListNumber"/>
      </w:pPr>
      <w:r>
        <w:rPr>
          <w:rFonts w:ascii="Calibri" w:hAnsi="Calibri"/>
          <w:sz w:val="22"/>
        </w:rPr>
        <w:t>GET /api/products — Listar productos (público, sin token)</w:t>
      </w:r>
    </w:p>
    <w:p>
      <w:pPr>
        <w:pStyle w:val="ListNumber"/>
      </w:pPr>
      <w:r>
        <w:rPr>
          <w:rFonts w:ascii="Calibri" w:hAnsi="Calibri"/>
          <w:sz w:val="22"/>
        </w:rPr>
        <w:t>GET /api/products/:id — Ver detalle con variantes y stock</w:t>
      </w:r>
    </w:p>
    <w:p>
      <w:pPr>
        <w:pStyle w:val="ListNumber"/>
      </w:pPr>
      <w:r>
        <w:rPr>
          <w:rFonts w:ascii="Calibri" w:hAnsi="Calibri"/>
          <w:sz w:val="22"/>
        </w:rPr>
        <w:t>POST /api/cart/items — Agregar variante al carrito (verifica stock atómicamente)</w:t>
      </w:r>
    </w:p>
    <w:p>
      <w:pPr>
        <w:pStyle w:val="ListNumber"/>
      </w:pPr>
      <w:r>
        <w:rPr>
          <w:rFonts w:ascii="Calibri" w:hAnsi="Calibri"/>
          <w:sz w:val="22"/>
        </w:rPr>
        <w:t>GET /api/cart — Ver carrito con totales calculados</w:t>
      </w:r>
    </w:p>
    <w:p>
      <w:pPr>
        <w:pStyle w:val="ListNumber"/>
      </w:pPr>
      <w:r>
        <w:rPr>
          <w:rFonts w:ascii="Calibri" w:hAnsi="Calibri"/>
          <w:sz w:val="22"/>
        </w:rPr>
        <w:t>PUT /api/cart/items/:id — Actualizar cantidad (re-verifica stock)</w:t>
      </w:r>
    </w:p>
    <w:p>
      <w:pPr>
        <w:pStyle w:val="ListNumber"/>
      </w:pPr>
      <w:r>
        <w:rPr>
          <w:rFonts w:ascii="Calibri" w:hAnsi="Calibri"/>
          <w:sz w:val="22"/>
        </w:rPr>
        <w:t>POST /api/orders — Crear orden (checkout atómico: snapshot de precios + decremento de stock + limpieza de carrito)</w:t>
      </w:r>
    </w:p>
    <w:p>
      <w:pPr>
        <w:pStyle w:val="ListNumber"/>
      </w:pPr>
      <w:r>
        <w:rPr>
          <w:rFonts w:ascii="Calibri" w:hAnsi="Calibri"/>
          <w:sz w:val="22"/>
        </w:rPr>
        <w:t>GET /api/orders/:id — Verificar orden creada con status pending_payment</w:t>
      </w:r>
    </w:p>
    <w:p>
      <w:pPr>
        <w:pStyle w:val="ListNumber"/>
      </w:pPr>
      <w:r>
        <w:rPr>
          <w:rFonts w:ascii="Calibri" w:hAnsi="Calibri"/>
          <w:sz w:val="22"/>
        </w:rPr>
        <w:t>PUT /api/orders/:id/status — Vendedor actualiza a paid (máquina de estados)</w:t>
      </w:r>
    </w:p>
    <w:p>
      <w:pPr>
        <w:pStyle w:val="ListNumber"/>
      </w:pPr>
      <w:r>
        <w:rPr>
          <w:rFonts w:ascii="Calibri" w:hAnsi="Calibri"/>
          <w:sz w:val="22"/>
        </w:rPr>
        <w:t>PUT /api/orders/:id/status — Vendedor actualiza a preparing → packed → shipped</w:t>
      </w:r>
    </w:p>
    <w:p>
      <w:pPr>
        <w:pStyle w:val="ListNumber"/>
      </w:pPr>
      <w:r>
        <w:rPr>
          <w:rFonts w:ascii="Calibri" w:hAnsi="Calibri"/>
          <w:sz w:val="22"/>
        </w:rPr>
        <w:t>PUT /api/orders/:id/tracking — Vendedor registra número de guía y empresa</w:t>
      </w:r>
    </w:p>
    <w:p>
      <w:pPr>
        <w:pStyle w:val="ListNumber"/>
      </w:pPr>
      <w:r>
        <w:rPr>
          <w:rFonts w:ascii="Calibri" w:hAnsi="Calibri"/>
          <w:sz w:val="22"/>
        </w:rPr>
        <w:t>PUT /api/orders/:id/status — Actualizar a delivered</w:t>
      </w:r>
    </w:p>
    <w:p>
      <w:pPr>
        <w:pStyle w:val="ListNumber"/>
      </w:pPr>
      <w:r>
        <w:rPr>
          <w:rFonts w:ascii="Calibri" w:hAnsi="Calibri"/>
          <w:sz w:val="22"/>
        </w:rPr>
        <w:t>GET /api/orders/:id — Verificar estado final y timestamps de cada transición</w:t>
      </w:r>
    </w:p>
    <w:p>
      <w:pPr>
        <w:pStyle w:val="Heading2"/>
      </w:pPr>
      <w:r>
        <w:rPr>
          <w:rFonts w:ascii="Calibri" w:hAnsi="Calibri"/>
          <w:color w:val="2E6DB4"/>
        </w:rPr>
        <w:t>4.2 Casos de borde validados</w:t>
      </w:r>
    </w:p>
    <w:tbl>
      <w:tblPr>
        <w:tblStyle w:val="TableGrid"/>
        <w:tblW w:type="auto" w:w="0"/>
        <w:jc w:val="left"/>
        <w:tblLook w:firstColumn="1" w:firstRow="1" w:lastColumn="0" w:lastRow="0" w:noHBand="0" w:noVBand="1" w:val="04A0"/>
      </w:tblPr>
      <w:tblGrid>
        <w:gridCol w:w="3135"/>
        <w:gridCol w:w="3135"/>
        <w:gridCol w:w="3135"/>
      </w:tblGrid>
      <w:tr>
        <w:tc>
          <w:tcPr>
            <w:tcW w:type="dxa" w:w="3969"/>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Caso</w:t>
            </w:r>
          </w:p>
        </w:tc>
        <w:tc>
          <w:tcPr>
            <w:tcW w:type="dxa" w:w="3969"/>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Comportamiento esperado</w:t>
            </w:r>
          </w:p>
        </w:tc>
        <w:tc>
          <w:tcPr>
            <w:tcW w:type="dxa" w:w="1417"/>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HTTP Status</w:t>
            </w:r>
          </w:p>
        </w:tc>
      </w:tr>
      <w:tr>
        <w:tc>
          <w:tcPr>
            <w:tcW w:type="dxa" w:w="396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Stock insuficiente al agregar al carrito</w:t>
            </w:r>
          </w:p>
        </w:tc>
        <w:tc>
          <w:tcPr>
            <w:tcW w:type="dxa" w:w="396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Error con mensaje descriptivo</w:t>
            </w:r>
          </w:p>
        </w:tc>
        <w:tc>
          <w:tcPr>
            <w:tcW w:type="dxa" w:w="1417"/>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400</w:t>
            </w:r>
          </w:p>
        </w:tc>
      </w:tr>
      <w:tr>
        <w:tc>
          <w:tcPr>
            <w:tcW w:type="dxa" w:w="3969"/>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Stock insuficiente al hacer checkout</w:t>
            </w:r>
          </w:p>
        </w:tc>
        <w:tc>
          <w:tcPr>
            <w:tcW w:type="dxa" w:w="3969"/>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Rollback completo de transacción</w:t>
            </w:r>
          </w:p>
        </w:tc>
        <w:tc>
          <w:tcPr>
            <w:tcW w:type="dxa" w:w="1417"/>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400</w:t>
            </w:r>
          </w:p>
        </w:tc>
      </w:tr>
      <w:tr>
        <w:tc>
          <w:tcPr>
            <w:tcW w:type="dxa" w:w="396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Transición de estado inválida (ej: delivered → paid)</w:t>
            </w:r>
          </w:p>
        </w:tc>
        <w:tc>
          <w:tcPr>
            <w:tcW w:type="dxa" w:w="396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Rechazo con lista de transiciones válidas</w:t>
            </w:r>
          </w:p>
        </w:tc>
        <w:tc>
          <w:tcPr>
            <w:tcW w:type="dxa" w:w="1417"/>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422</w:t>
            </w:r>
          </w:p>
        </w:tc>
      </w:tr>
      <w:tr>
        <w:tc>
          <w:tcPr>
            <w:tcW w:type="dxa" w:w="3969"/>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Acceso a orden de otro cliente</w:t>
            </w:r>
          </w:p>
        </w:tc>
        <w:tc>
          <w:tcPr>
            <w:tcW w:type="dxa" w:w="3969"/>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Forbidden</w:t>
            </w:r>
          </w:p>
        </w:tc>
        <w:tc>
          <w:tcPr>
            <w:tcW w:type="dxa" w:w="1417"/>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403</w:t>
            </w:r>
          </w:p>
        </w:tc>
      </w:tr>
      <w:tr>
        <w:tc>
          <w:tcPr>
            <w:tcW w:type="dxa" w:w="396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Acceso a tienda de otro vendedor</w:t>
            </w:r>
          </w:p>
        </w:tc>
        <w:tc>
          <w:tcPr>
            <w:tcW w:type="dxa" w:w="396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Forbidden</w:t>
            </w:r>
          </w:p>
        </w:tc>
        <w:tc>
          <w:tcPr>
            <w:tcW w:type="dxa" w:w="1417"/>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403</w:t>
            </w:r>
          </w:p>
        </w:tc>
      </w:tr>
      <w:tr>
        <w:tc>
          <w:tcPr>
            <w:tcW w:type="dxa" w:w="3969"/>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SKU duplicado en creación de variante</w:t>
            </w:r>
          </w:p>
        </w:tc>
        <w:tc>
          <w:tcPr>
            <w:tcW w:type="dxa" w:w="3969"/>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Conflict</w:t>
            </w:r>
          </w:p>
        </w:tc>
        <w:tc>
          <w:tcPr>
            <w:tcW w:type="dxa" w:w="1417"/>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409</w:t>
            </w:r>
          </w:p>
        </w:tc>
      </w:tr>
      <w:tr>
        <w:tc>
          <w:tcPr>
            <w:tcW w:type="dxa" w:w="396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Token expirado</w:t>
            </w:r>
          </w:p>
        </w:tc>
        <w:tc>
          <w:tcPr>
            <w:tcW w:type="dxa" w:w="396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Unauthorized</w:t>
            </w:r>
          </w:p>
        </w:tc>
        <w:tc>
          <w:tcPr>
            <w:tcW w:type="dxa" w:w="1417"/>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401</w:t>
            </w:r>
          </w:p>
        </w:tc>
      </w:tr>
      <w:tr>
        <w:tc>
          <w:tcPr>
            <w:tcW w:type="dxa" w:w="3969"/>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Rate limit superado</w:t>
            </w:r>
          </w:p>
        </w:tc>
        <w:tc>
          <w:tcPr>
            <w:tcW w:type="dxa" w:w="3969"/>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Too Many Requests</w:t>
            </w:r>
          </w:p>
        </w:tc>
        <w:tc>
          <w:tcPr>
            <w:tcW w:type="dxa" w:w="1417"/>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429</w:t>
            </w:r>
          </w:p>
        </w:tc>
      </w:tr>
    </w:tbl>
    <w:p>
      <w:r>
        <w:br w:type="page"/>
      </w:r>
    </w:p>
    <w:p>
      <w:pPr>
        <w:pStyle w:val="Heading1"/>
      </w:pPr>
      <w:r>
        <w:rPr>
          <w:rFonts w:ascii="Calibri" w:hAnsi="Calibri"/>
          <w:color w:val="1A3A6B"/>
        </w:rPr>
        <w:t>5. Manual de Usuario</w:t>
      </w:r>
    </w:p>
    <w:p>
      <w:pPr>
        <w:pStyle w:val="Heading2"/>
      </w:pPr>
      <w:r>
        <w:rPr>
          <w:rFonts w:ascii="Calibri" w:hAnsi="Calibri"/>
          <w:color w:val="2E6DB4"/>
        </w:rPr>
        <w:t>5.1 Perfil: Vendedor — Panel de administración</w:t>
      </w:r>
    </w:p>
    <w:p>
      <w:pPr>
        <w:pStyle w:val="Heading3"/>
      </w:pPr>
      <w:r>
        <w:rPr>
          <w:rFonts w:ascii="Calibri" w:hAnsi="Calibri"/>
          <w:color w:val="17615A"/>
        </w:rPr>
        <w:t>5.1.1 Acceso al panel</w:t>
      </w:r>
    </w:p>
    <w:p>
      <w:r>
        <w:rPr>
          <w:rFonts w:ascii="Calibri" w:hAnsi="Calibri"/>
          <w:b w:val="0"/>
          <w:i w:val="0"/>
          <w:sz w:val="22"/>
        </w:rPr>
        <w:t>Navegar a http://localhost:5174/vendor/dashboard (desarrollo) o https://kingsley.gt/vendor/dashboard (producción). El panel requiere sesión activa con rol vendor.</w:t>
      </w:r>
    </w:p>
    <w:p>
      <w:pPr>
        <w:pStyle w:val="Heading3"/>
      </w:pPr>
      <w:r>
        <w:rPr>
          <w:rFonts w:ascii="Calibri" w:hAnsi="Calibri"/>
          <w:color w:val="17615A"/>
        </w:rPr>
        <w:t>5.1.2 Dashboard</w:t>
      </w:r>
    </w:p>
    <w:p>
      <w:pPr>
        <w:pStyle w:val="ListBullet"/>
      </w:pPr>
      <w:r>
        <w:rPr>
          <w:rFonts w:ascii="Calibri" w:hAnsi="Calibri"/>
          <w:sz w:val="22"/>
        </w:rPr>
        <w:t>Productos publicados: total de productos activos en la tienda</w:t>
      </w:r>
    </w:p>
    <w:p>
      <w:pPr>
        <w:pStyle w:val="ListBullet"/>
      </w:pPr>
      <w:r>
        <w:rPr>
          <w:rFonts w:ascii="Calibri" w:hAnsi="Calibri"/>
          <w:sz w:val="22"/>
        </w:rPr>
        <w:t>Órdenes activas: suma de órdenes en estado paid, preparing, packed o shipped</w:t>
      </w:r>
    </w:p>
    <w:p>
      <w:pPr>
        <w:pStyle w:val="ListBullet"/>
      </w:pPr>
      <w:r>
        <w:rPr>
          <w:rFonts w:ascii="Calibri" w:hAnsi="Calibri"/>
          <w:sz w:val="22"/>
        </w:rPr>
        <w:t>Ingresos confirmados: suma de totales de órdenes pagadas, enviadas y entregadas (en GTQ)</w:t>
      </w:r>
    </w:p>
    <w:p>
      <w:pPr>
        <w:pStyle w:val="ListBullet"/>
      </w:pPr>
      <w:r>
        <w:rPr>
          <w:rFonts w:ascii="Calibri" w:hAnsi="Calibri"/>
          <w:sz w:val="22"/>
        </w:rPr>
        <w:t>Pendientes de pago: órdenes en estado pending_payment que requieren confirmación</w:t>
      </w:r>
    </w:p>
    <w:p>
      <w:pPr>
        <w:pStyle w:val="Heading3"/>
      </w:pPr>
      <w:r>
        <w:rPr>
          <w:rFonts w:ascii="Calibri" w:hAnsi="Calibri"/>
          <w:color w:val="17615A"/>
        </w:rPr>
        <w:t>5.1.3 Gestión de Productos</w:t>
      </w:r>
    </w:p>
    <w:p>
      <w:pPr>
        <w:pStyle w:val="ListNumber"/>
      </w:pPr>
      <w:r>
        <w:rPr>
          <w:rFonts w:ascii="Calibri" w:hAnsi="Calibri"/>
          <w:sz w:val="22"/>
        </w:rPr>
        <w:t>Hacer clic en "Nuevo producto" para desplegar el formulario de creación</w:t>
      </w:r>
    </w:p>
    <w:p>
      <w:pPr>
        <w:pStyle w:val="ListNumber"/>
      </w:pPr>
      <w:r>
        <w:rPr>
          <w:rFonts w:ascii="Calibri" w:hAnsi="Calibri"/>
          <w:sz w:val="22"/>
        </w:rPr>
        <w:t>Completar: nombre, categoría (Snapback/Trucker/Beanie/Fitted), precio base en GTQ e imágenes (URLs separadas por coma)</w:t>
      </w:r>
    </w:p>
    <w:p>
      <w:pPr>
        <w:pStyle w:val="ListNumber"/>
      </w:pPr>
      <w:r>
        <w:rPr>
          <w:rFonts w:ascii="Calibri" w:hAnsi="Calibri"/>
          <w:sz w:val="22"/>
        </w:rPr>
        <w:t>Agregar variantes con talla, color, SKU único y stock inicial</w:t>
      </w:r>
    </w:p>
    <w:p>
      <w:pPr>
        <w:pStyle w:val="ListNumber"/>
      </w:pPr>
      <w:r>
        <w:rPr>
          <w:rFonts w:ascii="Calibri" w:hAnsi="Calibri"/>
          <w:sz w:val="22"/>
        </w:rPr>
        <w:t>Hacer clic en "Crear producto" — el producto aparece activo de inmediato en el catálogo</w:t>
      </w:r>
    </w:p>
    <w:p>
      <w:pPr>
        <w:pStyle w:val="ListNumber"/>
      </w:pPr>
      <w:r>
        <w:rPr>
          <w:rFonts w:ascii="Calibri" w:hAnsi="Calibri"/>
          <w:sz w:val="22"/>
        </w:rPr>
        <w:t>Para archivar un producto (ocultarlo del catálogo), hacer clic en "Archivar" y confirmar</w:t>
      </w:r>
    </w:p>
    <w:p>
      <w:pPr>
        <w:pStyle w:val="Heading3"/>
      </w:pPr>
      <w:r>
        <w:rPr>
          <w:rFonts w:ascii="Calibri" w:hAnsi="Calibri"/>
          <w:color w:val="17615A"/>
        </w:rPr>
        <w:t>5.1.4 Gestión de Órdenes</w:t>
      </w:r>
    </w:p>
    <w:p>
      <w:pPr>
        <w:pStyle w:val="ListNumber"/>
      </w:pPr>
      <w:r>
        <w:rPr>
          <w:rFonts w:ascii="Calibri" w:hAnsi="Calibri"/>
          <w:sz w:val="22"/>
        </w:rPr>
        <w:t>Usar el filtro de estado superior para ver órdenes por etapa del ciclo de vida</w:t>
      </w:r>
    </w:p>
    <w:p>
      <w:pPr>
        <w:pStyle w:val="ListNumber"/>
      </w:pPr>
      <w:r>
        <w:rPr>
          <w:rFonts w:ascii="Calibri" w:hAnsi="Calibri"/>
          <w:sz w:val="22"/>
        </w:rPr>
        <w:t>En el selector "Cambiar" de cada fila, seleccionar el nuevo estado (sólo transiciones válidas son aplicables)</w:t>
      </w:r>
    </w:p>
    <w:p>
      <w:pPr>
        <w:pStyle w:val="ListNumber"/>
      </w:pPr>
      <w:r>
        <w:rPr>
          <w:rFonts w:ascii="Calibri" w:hAnsi="Calibri"/>
          <w:sz w:val="22"/>
        </w:rPr>
        <w:t>Hacer clic en "Guia" para desplegar el formulario de tracking</w:t>
      </w:r>
    </w:p>
    <w:p>
      <w:pPr>
        <w:pStyle w:val="ListNumber"/>
      </w:pPr>
      <w:r>
        <w:rPr>
          <w:rFonts w:ascii="Calibri" w:hAnsi="Calibri"/>
          <w:sz w:val="22"/>
        </w:rPr>
        <w:t>Ingresar número de guía y empresa de mensajería (ej: Guatex, Cargo Expreso)</w:t>
      </w:r>
    </w:p>
    <w:p>
      <w:pPr>
        <w:pStyle w:val="ListNumber"/>
      </w:pPr>
      <w:r>
        <w:rPr>
          <w:rFonts w:ascii="Calibri" w:hAnsi="Calibri"/>
          <w:sz w:val="22"/>
        </w:rPr>
        <w:t>Hacer clic en "Guardar guia" — el cliente podrá ver la información de seguimiento</w:t>
      </w:r>
    </w:p>
    <w:p>
      <w:pPr>
        <w:pStyle w:val="Heading2"/>
      </w:pPr>
      <w:r>
        <w:rPr>
          <w:rFonts w:ascii="Calibri" w:hAnsi="Calibri"/>
          <w:color w:val="2E6DB4"/>
        </w:rPr>
        <w:t>5.2 Perfil: Cliente — Compra en tienda</w:t>
      </w:r>
    </w:p>
    <w:p>
      <w:pPr>
        <w:pStyle w:val="ListNumber"/>
      </w:pPr>
      <w:r>
        <w:rPr>
          <w:rFonts w:ascii="Calibri" w:hAnsi="Calibri"/>
          <w:sz w:val="22"/>
        </w:rPr>
        <w:t>Registrarse con nombre, correo y contraseña en /auth/register</w:t>
      </w:r>
    </w:p>
    <w:p>
      <w:pPr>
        <w:pStyle w:val="ListNumber"/>
      </w:pPr>
      <w:r>
        <w:rPr>
          <w:rFonts w:ascii="Calibri" w:hAnsi="Calibri"/>
          <w:sz w:val="22"/>
        </w:rPr>
        <w:t>Explorar el catálogo en la página principal — filtrar por categoría o nombre</w:t>
      </w:r>
    </w:p>
    <w:p>
      <w:pPr>
        <w:pStyle w:val="ListNumber"/>
      </w:pPr>
      <w:r>
        <w:rPr>
          <w:rFonts w:ascii="Calibri" w:hAnsi="Calibri"/>
          <w:sz w:val="22"/>
        </w:rPr>
        <w:t>Seleccionar talla y color de la variante deseada</w:t>
      </w:r>
    </w:p>
    <w:p>
      <w:pPr>
        <w:pStyle w:val="ListNumber"/>
      </w:pPr>
      <w:r>
        <w:rPr>
          <w:rFonts w:ascii="Calibri" w:hAnsi="Calibri"/>
          <w:sz w:val="22"/>
        </w:rPr>
        <w:t>Agregar al carrito — el sistema verifica stock en tiempo real</w:t>
      </w:r>
    </w:p>
    <w:p>
      <w:pPr>
        <w:pStyle w:val="ListNumber"/>
      </w:pPr>
      <w:r>
        <w:rPr>
          <w:rFonts w:ascii="Calibri" w:hAnsi="Calibri"/>
          <w:sz w:val="22"/>
        </w:rPr>
        <w:t>Revisar el carrito y ajustar cantidades si es necesario</w:t>
      </w:r>
    </w:p>
    <w:p>
      <w:pPr>
        <w:pStyle w:val="ListNumber"/>
      </w:pPr>
      <w:r>
        <w:rPr>
          <w:rFonts w:ascii="Calibri" w:hAnsi="Calibri"/>
          <w:sz w:val="22"/>
        </w:rPr>
        <w:t>Proceder al checkout: ingresar dirección de envío y seleccionar método de pago</w:t>
      </w:r>
    </w:p>
    <w:p>
      <w:pPr>
        <w:pStyle w:val="ListNumber"/>
      </w:pPr>
      <w:r>
        <w:rPr>
          <w:rFonts w:ascii="Calibri" w:hAnsi="Calibri"/>
          <w:sz w:val="22"/>
        </w:rPr>
        <w:t>Confirmar la orden — recibirá confirmación con número de orden</w:t>
      </w:r>
    </w:p>
    <w:p>
      <w:pPr>
        <w:pStyle w:val="ListNumber"/>
      </w:pPr>
      <w:r>
        <w:rPr>
          <w:rFonts w:ascii="Calibri" w:hAnsi="Calibri"/>
          <w:sz w:val="22"/>
        </w:rPr>
        <w:t>Seguir el estado del pedido en "Mis Órdenes"</w:t>
      </w:r>
    </w:p>
    <w:p>
      <w:pPr>
        <w:pStyle w:val="Heading2"/>
      </w:pPr>
      <w:r>
        <w:rPr>
          <w:rFonts w:ascii="Calibri" w:hAnsi="Calibri"/>
          <w:color w:val="2E6DB4"/>
        </w:rPr>
        <w:t>5.3 Perfil: Administrador del sistema</w:t>
      </w:r>
    </w:p>
    <w:p>
      <w:pPr>
        <w:pStyle w:val="ListNumber"/>
      </w:pPr>
      <w:r>
        <w:rPr>
          <w:rFonts w:ascii="Calibri" w:hAnsi="Calibri"/>
          <w:sz w:val="22"/>
        </w:rPr>
        <w:t>Acceder a PgAdmin en http://localhost:5050 (sólo entorno local con perfil tools)</w:t>
      </w:r>
    </w:p>
    <w:p>
      <w:pPr>
        <w:pStyle w:val="ListNumber"/>
      </w:pPr>
      <w:r>
        <w:rPr>
          <w:rFonts w:ascii="Calibri" w:hAnsi="Calibri"/>
          <w:sz w:val="22"/>
        </w:rPr>
        <w:t>Gestionar usuarios y roles directamente en la tabla users</w:t>
      </w:r>
    </w:p>
    <w:p>
      <w:pPr>
        <w:pStyle w:val="ListNumber"/>
      </w:pPr>
      <w:r>
        <w:rPr>
          <w:rFonts w:ascii="Calibri" w:hAnsi="Calibri"/>
          <w:sz w:val="22"/>
        </w:rPr>
        <w:t>Revisar logs del servidor en logs/combined.log y logs/error.log</w:t>
      </w:r>
    </w:p>
    <w:p>
      <w:pPr>
        <w:pStyle w:val="ListNumber"/>
      </w:pPr>
      <w:r>
        <w:rPr>
          <w:rFonts w:ascii="Calibri" w:hAnsi="Calibri"/>
          <w:sz w:val="22"/>
        </w:rPr>
        <w:t>Ejecutar migraciones con: npx sequelize-cli db:migrate</w:t>
      </w:r>
    </w:p>
    <w:p>
      <w:pPr>
        <w:pStyle w:val="ListNumber"/>
      </w:pPr>
      <w:r>
        <w:rPr>
          <w:rFonts w:ascii="Calibri" w:hAnsi="Calibri"/>
          <w:sz w:val="22"/>
        </w:rPr>
        <w:t>Revertir última migración con: npx sequelize-cli db:migrate:undo</w:t>
      </w:r>
    </w:p>
    <w:p>
      <w:r>
        <w:br w:type="page"/>
      </w:r>
    </w:p>
    <w:p>
      <w:pPr>
        <w:pStyle w:val="Heading1"/>
      </w:pPr>
      <w:r>
        <w:rPr>
          <w:rFonts w:ascii="Calibri" w:hAnsi="Calibri"/>
          <w:color w:val="1A3A6B"/>
        </w:rPr>
        <w:t>6. Manual Técnico</w:t>
      </w:r>
    </w:p>
    <w:p>
      <w:pPr>
        <w:pStyle w:val="Heading2"/>
      </w:pPr>
      <w:r>
        <w:rPr>
          <w:rFonts w:ascii="Calibri" w:hAnsi="Calibri"/>
          <w:color w:val="2E6DB4"/>
        </w:rPr>
        <w:t>6.1 Stack tecnológico</w:t>
      </w:r>
    </w:p>
    <w:tbl>
      <w:tblPr>
        <w:tblStyle w:val="TableGrid"/>
        <w:tblW w:type="auto" w:w="0"/>
        <w:jc w:val="left"/>
        <w:tblLook w:firstColumn="1" w:firstRow="1" w:lastColumn="0" w:lastRow="0" w:noHBand="0" w:noVBand="1" w:val="04A0"/>
      </w:tblPr>
      <w:tblGrid>
        <w:gridCol w:w="3135"/>
        <w:gridCol w:w="3135"/>
        <w:gridCol w:w="3135"/>
      </w:tblGrid>
      <w:tr>
        <w:tc>
          <w:tcPr>
            <w:tcW w:type="dxa" w:w="3118"/>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Capa</w:t>
            </w:r>
          </w:p>
        </w:tc>
        <w:tc>
          <w:tcPr>
            <w:tcW w:type="dxa" w:w="3118"/>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Tecnología</w:t>
            </w:r>
          </w:p>
        </w:tc>
        <w:tc>
          <w:tcPr>
            <w:tcW w:type="dxa" w:w="1984"/>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Versión</w:t>
            </w:r>
          </w:p>
        </w:tc>
      </w:tr>
      <w:tr>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Runtime backend</w:t>
            </w:r>
          </w:p>
        </w:tc>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Node.js</w:t>
            </w:r>
          </w:p>
        </w:tc>
        <w:tc>
          <w:tcPr>
            <w:tcW w:type="dxa" w:w="198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20 LTS</w:t>
            </w:r>
          </w:p>
        </w:tc>
      </w:tr>
      <w:tr>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Framework backend</w:t>
            </w:r>
          </w:p>
        </w:tc>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Express</w:t>
            </w:r>
          </w:p>
        </w:tc>
        <w:tc>
          <w:tcPr>
            <w:tcW w:type="dxa" w:w="1984"/>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4.18</w:t>
            </w:r>
          </w:p>
        </w:tc>
      </w:tr>
      <w:tr>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ORM</w:t>
            </w:r>
          </w:p>
        </w:tc>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Sequelize</w:t>
            </w:r>
          </w:p>
        </w:tc>
        <w:tc>
          <w:tcPr>
            <w:tcW w:type="dxa" w:w="198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6.x</w:t>
            </w:r>
          </w:p>
        </w:tc>
      </w:tr>
      <w:tr>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Base de datos</w:t>
            </w:r>
          </w:p>
        </w:tc>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PostgreSQL</w:t>
            </w:r>
          </w:p>
        </w:tc>
        <w:tc>
          <w:tcPr>
            <w:tcW w:type="dxa" w:w="1984"/>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15</w:t>
            </w:r>
          </w:p>
        </w:tc>
      </w:tr>
      <w:tr>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Migraciones</w:t>
            </w:r>
          </w:p>
        </w:tc>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sequelize-cli</w:t>
            </w:r>
          </w:p>
        </w:tc>
        <w:tc>
          <w:tcPr>
            <w:tcW w:type="dxa" w:w="198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6.x</w:t>
            </w:r>
          </w:p>
        </w:tc>
      </w:tr>
      <w:tr>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Validación</w:t>
            </w:r>
          </w:p>
        </w:tc>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Joi</w:t>
            </w:r>
          </w:p>
        </w:tc>
        <w:tc>
          <w:tcPr>
            <w:tcW w:type="dxa" w:w="1984"/>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17.x</w:t>
            </w:r>
          </w:p>
        </w:tc>
      </w:tr>
      <w:tr>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Autenticación</w:t>
            </w:r>
          </w:p>
        </w:tc>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jsonwebtoken</w:t>
            </w:r>
          </w:p>
        </w:tc>
        <w:tc>
          <w:tcPr>
            <w:tcW w:type="dxa" w:w="198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9.x</w:t>
            </w:r>
          </w:p>
        </w:tc>
      </w:tr>
      <w:tr>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Hashing</w:t>
            </w:r>
          </w:p>
        </w:tc>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bcryptjs</w:t>
            </w:r>
          </w:p>
        </w:tc>
        <w:tc>
          <w:tcPr>
            <w:tcW w:type="dxa" w:w="1984"/>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2.4</w:t>
            </w:r>
          </w:p>
        </w:tc>
      </w:tr>
      <w:tr>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Blockchain</w:t>
            </w:r>
          </w:p>
        </w:tc>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ethers.js</w:t>
            </w:r>
          </w:p>
        </w:tc>
        <w:tc>
          <w:tcPr>
            <w:tcW w:type="dxa" w:w="198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6.x</w:t>
            </w:r>
          </w:p>
        </w:tc>
      </w:tr>
      <w:tr>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Logging</w:t>
            </w:r>
          </w:p>
        </w:tc>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Winston</w:t>
            </w:r>
          </w:p>
        </w:tc>
        <w:tc>
          <w:tcPr>
            <w:tcW w:type="dxa" w:w="1984"/>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3.x</w:t>
            </w:r>
          </w:p>
        </w:tc>
      </w:tr>
      <w:tr>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Framework frontend</w:t>
            </w:r>
          </w:p>
        </w:tc>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React</w:t>
            </w:r>
          </w:p>
        </w:tc>
        <w:tc>
          <w:tcPr>
            <w:tcW w:type="dxa" w:w="198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18.x</w:t>
            </w:r>
          </w:p>
        </w:tc>
      </w:tr>
      <w:tr>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Build tool</w:t>
            </w:r>
          </w:p>
        </w:tc>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Vite</w:t>
            </w:r>
          </w:p>
        </w:tc>
        <w:tc>
          <w:tcPr>
            <w:tcW w:type="dxa" w:w="1984"/>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5.x</w:t>
            </w:r>
          </w:p>
        </w:tc>
      </w:tr>
      <w:tr>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CSS</w:t>
            </w:r>
          </w:p>
        </w:tc>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Tailwind CSS</w:t>
            </w:r>
          </w:p>
        </w:tc>
        <w:tc>
          <w:tcPr>
            <w:tcW w:type="dxa" w:w="198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3.x</w:t>
            </w:r>
          </w:p>
        </w:tc>
      </w:tr>
      <w:tr>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HTTP client</w:t>
            </w:r>
          </w:p>
        </w:tc>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Axios</w:t>
            </w:r>
          </w:p>
        </w:tc>
        <w:tc>
          <w:tcPr>
            <w:tcW w:type="dxa" w:w="1984"/>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1.x</w:t>
            </w:r>
          </w:p>
        </w:tc>
      </w:tr>
      <w:tr>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Contenedores</w:t>
            </w:r>
          </w:p>
        </w:tc>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Docker + Compose</w:t>
            </w:r>
          </w:p>
        </w:tc>
        <w:tc>
          <w:tcPr>
            <w:tcW w:type="dxa" w:w="198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24 / 2.x</w:t>
            </w:r>
          </w:p>
        </w:tc>
      </w:tr>
    </w:tbl>
    <w:p>
      <w:pPr>
        <w:pStyle w:val="Heading2"/>
      </w:pPr>
      <w:r>
        <w:rPr>
          <w:rFonts w:ascii="Calibri" w:hAnsi="Calibri"/>
          <w:color w:val="2E6DB4"/>
        </w:rPr>
        <w:t>6.2 Arquitectura del servidor</w:t>
      </w:r>
    </w:p>
    <w:p>
      <w:r>
        <w:rPr>
          <w:rFonts w:ascii="Calibri" w:hAnsi="Calibri"/>
          <w:b w:val="0"/>
          <w:i w:val="0"/>
          <w:sz w:val="22"/>
        </w:rPr>
        <w:t>El backend sigue el patrón Controller → Service → Model con separación estricta de responsabilidades:</w:t>
      </w:r>
    </w:p>
    <w:p>
      <w:pPr>
        <w:pStyle w:val="ListBullet"/>
      </w:pPr>
      <w:r>
        <w:rPr>
          <w:rFonts w:ascii="Calibri" w:hAnsi="Calibri"/>
          <w:sz w:val="22"/>
        </w:rPr>
        <w:t>Controllers: reciben la petición HTTP, invocan el validador Joi y llaman al servicio. Cero lógica de negocio.</w:t>
      </w:r>
    </w:p>
    <w:p>
      <w:pPr>
        <w:pStyle w:val="ListBullet"/>
      </w:pPr>
      <w:r>
        <w:rPr>
          <w:rFonts w:ascii="Calibri" w:hAnsi="Calibri"/>
          <w:sz w:val="22"/>
        </w:rPr>
        <w:t>Services: contienen toda la lógica de negocio, operaciones atómicas con transacciones Sequelize, y lanzamiento de errores de dominio (AppError y subclases).</w:t>
      </w:r>
    </w:p>
    <w:p>
      <w:pPr>
        <w:pStyle w:val="ListBullet"/>
      </w:pPr>
      <w:r>
        <w:rPr>
          <w:rFonts w:ascii="Calibri" w:hAnsi="Calibri"/>
          <w:sz w:val="22"/>
        </w:rPr>
        <w:t>Models: definición de esquema Sequelize, validaciones de base de datos (min: 0 para stock/precio), asociaciones.</w:t>
      </w:r>
    </w:p>
    <w:p>
      <w:pPr>
        <w:pStyle w:val="ListBullet"/>
      </w:pPr>
      <w:r>
        <w:rPr>
          <w:rFonts w:ascii="Calibri" w:hAnsi="Calibri"/>
          <w:sz w:val="22"/>
        </w:rPr>
        <w:t>Middleware stack: helmet → cors → json → correlationId → rateLimiter → rutas → 404 → errorHandler.</w:t>
      </w:r>
    </w:p>
    <w:p>
      <w:pPr>
        <w:pStyle w:val="Heading2"/>
      </w:pPr>
      <w:r>
        <w:rPr>
          <w:rFonts w:ascii="Calibri" w:hAnsi="Calibri"/>
          <w:color w:val="2E6DB4"/>
        </w:rPr>
        <w:t>6.3 Seguridad implementada</w:t>
      </w:r>
    </w:p>
    <w:tbl>
      <w:tblPr>
        <w:tblStyle w:val="TableGrid"/>
        <w:tblW w:type="auto" w:w="0"/>
        <w:jc w:val="left"/>
        <w:tblLook w:firstColumn="1" w:firstRow="1" w:lastColumn="0" w:lastRow="0" w:noHBand="0" w:noVBand="1" w:val="04A0"/>
      </w:tblPr>
      <w:tblGrid>
        <w:gridCol w:w="4703"/>
        <w:gridCol w:w="4703"/>
      </w:tblGrid>
      <w:tr>
        <w:tc>
          <w:tcPr>
            <w:tcW w:type="dxa" w:w="3118"/>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Medida</w:t>
            </w:r>
          </w:p>
        </w:tc>
        <w:tc>
          <w:tcPr>
            <w:tcW w:type="dxa" w:w="6236"/>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Implementación</w:t>
            </w:r>
          </w:p>
        </w:tc>
      </w:tr>
      <w:tr>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Autenticación stateless</w:t>
            </w:r>
          </w:p>
        </w:tc>
        <w:tc>
          <w:tcPr>
            <w:tcW w:type="dxa" w:w="623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JWT Bearer con access token (15 min) + refresh token rotativo (7 días)</w:t>
            </w:r>
          </w:p>
        </w:tc>
      </w:tr>
      <w:tr>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Hashing de contraseñas</w:t>
            </w:r>
          </w:p>
        </w:tc>
        <w:tc>
          <w:tcPr>
            <w:tcW w:type="dxa" w:w="6236"/>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bcrypt con 12 rondas de sal</w:t>
            </w:r>
          </w:p>
        </w:tc>
      </w:tr>
      <w:tr>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Aislamiento multi-tenant</w:t>
            </w:r>
          </w:p>
        </w:tc>
        <w:tc>
          <w:tcPr>
            <w:tcW w:type="dxa" w:w="623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store_id verificado en cada operación de servicio</w:t>
            </w:r>
          </w:p>
        </w:tc>
      </w:tr>
      <w:tr>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Protección de cabeceras HTTP</w:t>
            </w:r>
          </w:p>
        </w:tc>
        <w:tc>
          <w:tcPr>
            <w:tcW w:type="dxa" w:w="6236"/>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helmet con CSP, HSTS, X-Frame-Options</w:t>
            </w:r>
          </w:p>
        </w:tc>
      </w:tr>
      <w:tr>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Rate limiting</w:t>
            </w:r>
          </w:p>
        </w:tc>
        <w:tc>
          <w:tcPr>
            <w:tcW w:type="dxa" w:w="623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300 req/15min general, 10 req/15min en endpoints de auth</w:t>
            </w:r>
          </w:p>
        </w:tc>
      </w:tr>
      <w:tr>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Validación de entrada</w:t>
            </w:r>
          </w:p>
        </w:tc>
        <w:tc>
          <w:tcPr>
            <w:tcW w:type="dxa" w:w="6236"/>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Esquemas Joi en todas las rutas antes de llegar al controlador</w:t>
            </w:r>
          </w:p>
        </w:tc>
      </w:tr>
      <w:tr>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Manejo centralizado de errores</w:t>
            </w:r>
          </w:p>
        </w:tc>
        <w:tc>
          <w:tcPr>
            <w:tcW w:type="dxa" w:w="6236"/>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errorHandler global con mapeo de errores Sequelize a HTTP</w:t>
            </w:r>
          </w:p>
        </w:tc>
      </w:tr>
      <w:tr>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CORS</w:t>
            </w:r>
          </w:p>
        </w:tc>
        <w:tc>
          <w:tcPr>
            <w:tcW w:type="dxa" w:w="6236"/>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Lista blanca configurable via variable FRONTEND_URL</w:t>
            </w:r>
          </w:p>
        </w:tc>
      </w:tr>
    </w:tbl>
    <w:p>
      <w:pPr>
        <w:pStyle w:val="Heading2"/>
      </w:pPr>
      <w:r>
        <w:rPr>
          <w:rFonts w:ascii="Calibri" w:hAnsi="Calibri"/>
          <w:color w:val="2E6DB4"/>
        </w:rPr>
        <w:t>6.4 Transacciones atómicas — Checkout</w:t>
      </w:r>
    </w:p>
    <w:p>
      <w:r>
        <w:rPr>
          <w:rFonts w:ascii="Calibri" w:hAnsi="Calibri"/>
          <w:b w:val="0"/>
          <w:i w:val="0"/>
          <w:sz w:val="22"/>
        </w:rPr>
        <w:t>El proceso de creación de orden (POST /api/orders) ejecuta los siguientes pasos dentro de una única transacción Sequelize:</w:t>
      </w:r>
    </w:p>
    <w:p>
      <w:pPr>
        <w:pStyle w:val="ListNumber"/>
      </w:pPr>
      <w:r>
        <w:rPr>
          <w:rFonts w:ascii="Calibri" w:hAnsi="Calibri"/>
          <w:sz w:val="22"/>
        </w:rPr>
        <w:t>fetchCartForCheckout — Carga el carrito con todas las variantes y productos asociados</w:t>
      </w:r>
    </w:p>
    <w:p>
      <w:pPr>
        <w:pStyle w:val="ListNumber"/>
      </w:pPr>
      <w:r>
        <w:rPr>
          <w:rFonts w:ascii="Calibri" w:hAnsi="Calibri"/>
          <w:sz w:val="22"/>
        </w:rPr>
        <w:t>verifyStockOrThrow — Itera TODOS los ítems y lanza error si alguno tiene stock insuficiente (sin modificar nada aún)</w:t>
      </w:r>
    </w:p>
    <w:p>
      <w:pPr>
        <w:pStyle w:val="ListNumber"/>
      </w:pPr>
      <w:r>
        <w:rPr>
          <w:rFonts w:ascii="Calibri" w:hAnsi="Calibri"/>
          <w:sz w:val="22"/>
        </w:rPr>
        <w:t>computeOrderTotals — Calcula subtotal, IVA y total con precios snapshoteados en ese instante</w:t>
      </w:r>
    </w:p>
    <w:p>
      <w:pPr>
        <w:pStyle w:val="ListNumber"/>
      </w:pPr>
      <w:r>
        <w:rPr>
          <w:rFonts w:ascii="Calibri" w:hAnsi="Calibri"/>
          <w:sz w:val="22"/>
        </w:rPr>
        <w:t>Order.create — Persiste la orden con status pending_payment</w:t>
      </w:r>
    </w:p>
    <w:p>
      <w:pPr>
        <w:pStyle w:val="ListNumber"/>
      </w:pPr>
      <w:r>
        <w:rPr>
          <w:rFonts w:ascii="Calibri" w:hAnsi="Calibri"/>
          <w:sz w:val="22"/>
        </w:rPr>
        <w:t>createOrderItems — Crea cada OrderItem con el precio unitario capturado (inmutable ante cambios futuros)</w:t>
      </w:r>
    </w:p>
    <w:p>
      <w:pPr>
        <w:pStyle w:val="ListNumber"/>
      </w:pPr>
      <w:r>
        <w:rPr>
          <w:rFonts w:ascii="Calibri" w:hAnsi="Calibri"/>
          <w:sz w:val="22"/>
        </w:rPr>
        <w:t>decrementStockAndLog — Por cada ítem: decrementa variant.stock y crea un InventoryMovement de tipo "sale"</w:t>
      </w:r>
    </w:p>
    <w:p>
      <w:pPr>
        <w:pStyle w:val="ListNumber"/>
      </w:pPr>
      <w:r>
        <w:rPr>
          <w:rFonts w:ascii="Calibri" w:hAnsi="Calibri"/>
          <w:sz w:val="22"/>
        </w:rPr>
        <w:t>CartItem.destroy — Vacía el carrito</w:t>
      </w:r>
    </w:p>
    <w:p>
      <w:pPr>
        <w:pStyle w:val="ListNumber"/>
      </w:pPr>
      <w:r>
        <w:rPr>
          <w:rFonts w:ascii="Calibri" w:hAnsi="Calibri"/>
          <w:sz w:val="22"/>
        </w:rPr>
        <w:t>Si cualquier paso falla → rollback completo, stock intacto, orden no creada</w:t>
      </w:r>
    </w:p>
    <w:p>
      <w:pPr>
        <w:pStyle w:val="Heading2"/>
      </w:pPr>
      <w:r>
        <w:rPr>
          <w:rFonts w:ascii="Calibri" w:hAnsi="Calibri"/>
          <w:color w:val="2E6DB4"/>
        </w:rPr>
        <w:t>6.5 Máquina de estados de órdenes</w:t>
      </w:r>
    </w:p>
    <w:p>
      <w:r>
        <w:rPr>
          <w:rFonts w:ascii="Calibri" w:hAnsi="Calibri"/>
          <w:b w:val="0"/>
          <w:i w:val="0"/>
          <w:sz w:val="22"/>
        </w:rPr>
        <w:t>Transiciones válidas definidas en orderService.js:</w:t>
      </w:r>
    </w:p>
    <w:p>
      <w:pPr>
        <w:shd w:val="clear" w:color="auto" w:fill="F5F5F5"/>
        <w:pBdr>
          <w:top w:val="single" w:sz="4" w:space="1" w:color="CCCCCC"/>
          <w:left w:val="single" w:sz="4" w:space="4" w:color="CCCCCC"/>
          <w:bottom w:val="single" w:sz="4" w:space="1" w:color="CCCCCC"/>
          <w:right w:val="single" w:sz="4" w:space="4" w:color="CCCCCC"/>
        </w:pBdr>
        <w:spacing w:before="60" w:after="60"/>
      </w:pPr>
      <w:r>
        <w:rPr>
          <w:rFonts w:ascii="Courier New" w:hAnsi="Courier New"/>
          <w:color w:val="1F1F1F"/>
          <w:sz w:val="16"/>
        </w:rPr>
        <w:t>pending_payment → paid</w:t>
        <w:br/>
        <w:t>pending_payment → cancelled</w:t>
        <w:br/>
        <w:t>paid            → preparing</w:t>
        <w:br/>
        <w:t>paid            → cancelled</w:t>
        <w:br/>
        <w:t>paid            → refunded</w:t>
        <w:br/>
        <w:t>preparing       → packed</w:t>
        <w:br/>
        <w:t>preparing       → cancelled</w:t>
        <w:br/>
        <w:t>packed          → shipped</w:t>
        <w:br/>
        <w:t>shipped         → delivered</w:t>
        <w:br/>
        <w:t>shipped         → refunded</w:t>
      </w:r>
    </w:p>
    <w:p>
      <w:r>
        <w:rPr>
          <w:rFonts w:ascii="Calibri" w:hAnsi="Calibri"/>
          <w:b w:val="0"/>
          <w:i w:val="0"/>
          <w:sz w:val="22"/>
        </w:rPr>
        <w:t>La cancelación (cancelled) ejecuta adicionalmente restoreStock, que revierte el stock de cada variante y registra movimientos de tipo 'return' en InventoryMovements.</w:t>
      </w:r>
    </w:p>
    <w:p>
      <w:pPr>
        <w:pStyle w:val="Heading2"/>
      </w:pPr>
      <w:r>
        <w:rPr>
          <w:rFonts w:ascii="Calibri" w:hAnsi="Calibri"/>
          <w:color w:val="2E6DB4"/>
        </w:rPr>
        <w:t>6.6 Comandos de operación</w:t>
      </w:r>
    </w:p>
    <w:p>
      <w:pPr>
        <w:pStyle w:val="Heading3"/>
      </w:pPr>
      <w:r>
        <w:rPr>
          <w:rFonts w:ascii="Calibri" w:hAnsi="Calibri"/>
          <w:color w:val="17615A"/>
        </w:rPr>
        <w:t>Desarrollo</w:t>
      </w:r>
    </w:p>
    <w:p>
      <w:pPr>
        <w:shd w:val="clear" w:color="auto" w:fill="F5F5F5"/>
        <w:pBdr>
          <w:top w:val="single" w:sz="4" w:space="1" w:color="CCCCCC"/>
          <w:left w:val="single" w:sz="4" w:space="4" w:color="CCCCCC"/>
          <w:bottom w:val="single" w:sz="4" w:space="1" w:color="CCCCCC"/>
          <w:right w:val="single" w:sz="4" w:space="4" w:color="CCCCCC"/>
        </w:pBdr>
        <w:spacing w:before="60" w:after="60"/>
      </w:pPr>
      <w:r>
        <w:rPr>
          <w:rFonts w:ascii="Courier New" w:hAnsi="Courier New"/>
          <w:color w:val="1F1F1F"/>
          <w:sz w:val="16"/>
        </w:rPr>
        <w:t># Iniciar backend con hot-reload</w:t>
        <w:br/>
        <w:t>cd server &amp;&amp; npm run dev</w:t>
        <w:br/>
        <w:br/>
        <w:t># Iniciar frontend con HMR</w:t>
        <w:br/>
        <w:t>cd client &amp;&amp; npm run dev</w:t>
        <w:br/>
        <w:br/>
        <w:t># Ejecutar todas las migraciones</w:t>
        <w:br/>
        <w:t>npx sequelize-cli db:migrate</w:t>
        <w:br/>
        <w:br/>
        <w:t># Cargar datos semilla</w:t>
        <w:br/>
        <w:t>npx sequelize-cli db:seed:all</w:t>
        <w:br/>
        <w:br/>
        <w:t># Revertir última migración</w:t>
        <w:br/>
        <w:t>npx sequelize-cli db:migrate:undo</w:t>
        <w:br/>
        <w:br/>
        <w:t># Revertir todos los seeds</w:t>
        <w:br/>
        <w:t>npx sequelize-cli db:seed:undo:all</w:t>
      </w:r>
    </w:p>
    <w:p>
      <w:pPr>
        <w:pStyle w:val="Heading3"/>
      </w:pPr>
      <w:r>
        <w:rPr>
          <w:rFonts w:ascii="Calibri" w:hAnsi="Calibri"/>
          <w:color w:val="17615A"/>
        </w:rPr>
        <w:t>Producción</w:t>
      </w:r>
    </w:p>
    <w:p>
      <w:pPr>
        <w:shd w:val="clear" w:color="auto" w:fill="F5F5F5"/>
        <w:pBdr>
          <w:top w:val="single" w:sz="4" w:space="1" w:color="CCCCCC"/>
          <w:left w:val="single" w:sz="4" w:space="4" w:color="CCCCCC"/>
          <w:bottom w:val="single" w:sz="4" w:space="1" w:color="CCCCCC"/>
          <w:right w:val="single" w:sz="4" w:space="4" w:color="CCCCCC"/>
        </w:pBdr>
        <w:spacing w:before="60" w:after="60"/>
      </w:pPr>
      <w:r>
        <w:rPr>
          <w:rFonts w:ascii="Courier New" w:hAnsi="Courier New"/>
          <w:color w:val="1F1F1F"/>
          <w:sz w:val="16"/>
        </w:rPr>
        <w:t># Levantar stack completo</w:t>
        <w:br/>
        <w:t>docker compose up -d</w:t>
        <w:br/>
        <w:br/>
        <w:t># Ver logs en tiempo real de un servicio</w:t>
        <w:br/>
        <w:t>docker compose logs -f backend-api</w:t>
        <w:br/>
        <w:br/>
        <w:t># Escalar el backend a 3 instancias</w:t>
        <w:br/>
        <w:t>docker compose up -d --scale backend-api=3</w:t>
        <w:br/>
        <w:br/>
        <w:t># Ejecutar migraciones en producción</w:t>
        <w:br/>
        <w:t>docker compose exec backend-api npx sequelize-cli db:migrate</w:t>
        <w:br/>
        <w:br/>
        <w:t># Detener todo</w:t>
        <w:br/>
        <w:t>docker compose down</w:t>
      </w:r>
    </w:p>
    <w:p>
      <w:pPr>
        <w:pStyle w:val="Heading2"/>
      </w:pPr>
      <w:r>
        <w:rPr>
          <w:rFonts w:ascii="Calibri" w:hAnsi="Calibri"/>
          <w:color w:val="2E6DB4"/>
        </w:rPr>
        <w:t>6.7 Resolución de problemas frecuentes</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Síntoma</w:t>
            </w:r>
          </w:p>
        </w:tc>
        <w:tc>
          <w:tcPr>
            <w:tcW w:type="dxa" w:w="3118"/>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Causa probable</w:t>
            </w:r>
          </w:p>
        </w:tc>
        <w:tc>
          <w:tcPr>
            <w:tcW w:type="dxa" w:w="3402"/>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Solución</w:t>
            </w:r>
          </w:p>
        </w:tc>
      </w:tr>
      <w:tr>
        <w:tc>
          <w:tcPr>
            <w:tcW w:type="dxa" w:w="2835"/>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ECONNREFUSED al iniciar</w:t>
            </w:r>
          </w:p>
        </w:tc>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PostgreSQL no disponible</w:t>
            </w:r>
          </w:p>
        </w:tc>
        <w:tc>
          <w:tcPr>
            <w:tcW w:type="dxa" w:w="3402"/>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Verificar que docker compose up postgres esté corriendo</w:t>
            </w:r>
          </w:p>
        </w:tc>
      </w:tr>
      <w:tr>
        <w:tc>
          <w:tcPr>
            <w:tcW w:type="dxa" w:w="2835"/>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SequelizeValidationError: stock must be &gt;= 0</w:t>
            </w:r>
          </w:p>
        </w:tc>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Intento de stock negativo</w:t>
            </w:r>
          </w:p>
        </w:tc>
        <w:tc>
          <w:tcPr>
            <w:tcW w:type="dxa" w:w="3402"/>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Revisar lógica de decrementStockAndLog</w:t>
            </w:r>
          </w:p>
        </w:tc>
      </w:tr>
      <w:tr>
        <w:tc>
          <w:tcPr>
            <w:tcW w:type="dxa" w:w="2835"/>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JsonWebTokenError: invalid signature</w:t>
            </w:r>
          </w:p>
        </w:tc>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JWT_ACCESS_SECRET distinto entre servicios</w:t>
            </w:r>
          </w:p>
        </w:tc>
        <w:tc>
          <w:tcPr>
            <w:tcW w:type="dxa" w:w="3402"/>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Asegurar mismo valor en todos los .env</w:t>
            </w:r>
          </w:p>
        </w:tc>
      </w:tr>
      <w:tr>
        <w:tc>
          <w:tcPr>
            <w:tcW w:type="dxa" w:w="2835"/>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Error 403 Forbidden en /api/orders</w:t>
            </w:r>
          </w:p>
        </w:tc>
        <w:tc>
          <w:tcPr>
            <w:tcW w:type="dxa" w:w="3118"/>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Token de cliente intentando acceder a ruta de vendor</w:t>
            </w:r>
          </w:p>
        </w:tc>
        <w:tc>
          <w:tcPr>
            <w:tcW w:type="dxa" w:w="3402"/>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Verificar rol en payload del JWT</w:t>
            </w:r>
          </w:p>
        </w:tc>
      </w:tr>
      <w:tr>
        <w:tc>
          <w:tcPr>
            <w:tcW w:type="dxa" w:w="2835"/>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Migrations ya ejecutadas</w:t>
            </w:r>
          </w:p>
        </w:tc>
        <w:tc>
          <w:tcPr>
            <w:tcW w:type="dxa" w:w="3118"/>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Re-ejecución de migrate</w:t>
            </w:r>
          </w:p>
        </w:tc>
        <w:tc>
          <w:tcPr>
            <w:tcW w:type="dxa" w:w="3402"/>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npx sequelize-cli db:migrate es idempotente, seguro re-ejecutar</w:t>
            </w:r>
          </w:p>
        </w:tc>
      </w:tr>
    </w:tbl>
    <w:p>
      <w:r>
        <w:br w:type="page"/>
      </w:r>
    </w:p>
    <w:p>
      <w:pPr>
        <w:pStyle w:val="Heading1"/>
      </w:pPr>
      <w:r>
        <w:rPr>
          <w:rFonts w:ascii="Calibri" w:hAnsi="Calibri"/>
          <w:color w:val="1A3A6B"/>
        </w:rPr>
        <w:t>7. Conclusiones</w:t>
      </w:r>
    </w:p>
    <w:p>
      <w:pPr>
        <w:pStyle w:val="ListNumber"/>
      </w:pPr>
      <w:r>
        <w:rPr>
          <w:rFonts w:ascii="Calibri" w:hAnsi="Calibri"/>
          <w:sz w:val="22"/>
        </w:rPr>
        <w:t>Se implementaron exitosamente los 7 features asignados al módulo de Carlos, cubriendo desde la infraestructura base hasta el panel de vendedor funcional, con código probado y commiteado en la rama dev/carlos.</w:t>
      </w:r>
    </w:p>
    <w:p>
      <w:pPr>
        <w:pStyle w:val="ListNumber"/>
      </w:pPr>
      <w:r>
        <w:rPr>
          <w:rFonts w:ascii="Calibri" w:hAnsi="Calibri"/>
          <w:sz w:val="22"/>
        </w:rPr>
        <w:t>La arquitectura Controller→Service→Model permitió mantener controladores delgados (thin controllers) de menos de 20 líneas, concentrando la lógica de negocio compleja —como el checkout atómico y la máquina de estados de órdenes— exclusivamente en la capa de servicios.</w:t>
      </w:r>
    </w:p>
    <w:p>
      <w:pPr>
        <w:pStyle w:val="ListNumber"/>
      </w:pPr>
      <w:r>
        <w:rPr>
          <w:rFonts w:ascii="Calibri" w:hAnsi="Calibri"/>
          <w:sz w:val="22"/>
        </w:rPr>
        <w:t>El uso de transacciones Sequelize en el checkout garantiza consistencia de datos: ante cualquier fallo (stock insuficiente, error de red, violación de constraint) el estado de la base de datos permanece intacto, sin órdenes fantasma ni stock decrementado incorrectamente.</w:t>
      </w:r>
    </w:p>
    <w:p>
      <w:pPr>
        <w:pStyle w:val="ListNumber"/>
      </w:pPr>
      <w:r>
        <w:rPr>
          <w:rFonts w:ascii="Calibri" w:hAnsi="Calibri"/>
          <w:sz w:val="22"/>
        </w:rPr>
        <w:t>El diseño multi-tenant con store_id en todas las tablas comerciales permite que el mismo código sirva a múltiples tiendas simultáneamente, aislando los datos de cada vendedor sin necesidad de bases de datos separadas.</w:t>
      </w:r>
    </w:p>
    <w:p>
      <w:pPr>
        <w:pStyle w:val="ListNumber"/>
      </w:pPr>
      <w:r>
        <w:rPr>
          <w:rFonts w:ascii="Calibri" w:hAnsi="Calibri"/>
          <w:sz w:val="22"/>
        </w:rPr>
        <w:t>La separación entre variables de entorno de desarrollo (DB local/Docker) y producción (Supabase con SSL via DATABASE_URL) hace que el mismo código funcione en cualquier entorno sin modificaciones, siguiendo el principio de la aplicación de doce factores (12-factor app).</w:t>
      </w:r>
    </w:p>
    <w:p>
      <w:pPr>
        <w:pStyle w:val="ListNumber"/>
      </w:pPr>
      <w:r>
        <w:rPr>
          <w:rFonts w:ascii="Calibri" w:hAnsi="Calibri"/>
          <w:sz w:val="22"/>
        </w:rPr>
        <w:t>El panel de vendedor en React, aunque minimalista en esta iteración, cubre el ciclo de vida completo de los pedidos: visualización, actualización de estado y registro de guías de envío, todo desde una interfaz sin recargas de página gracias a actualizaciones de estado local en React.</w:t>
      </w:r>
    </w:p>
    <w:p>
      <w:r>
        <w:br w:type="page"/>
      </w:r>
    </w:p>
    <w:p>
      <w:pPr>
        <w:pStyle w:val="Heading1"/>
      </w:pPr>
      <w:r>
        <w:rPr>
          <w:rFonts w:ascii="Calibri" w:hAnsi="Calibri"/>
          <w:color w:val="1A3A6B"/>
        </w:rPr>
        <w:t>8. Anexos</w:t>
      </w:r>
    </w:p>
    <w:p>
      <w:pPr>
        <w:pStyle w:val="Heading2"/>
      </w:pPr>
      <w:r>
        <w:rPr>
          <w:rFonts w:ascii="Calibri" w:hAnsi="Calibri"/>
          <w:color w:val="2E6DB4"/>
        </w:rPr>
        <w:t>Anexo A — docker-compose.yml</w:t>
      </w:r>
    </w:p>
    <w:p>
      <w:pPr>
        <w:shd w:val="clear" w:color="auto" w:fill="F5F5F5"/>
        <w:pBdr>
          <w:top w:val="single" w:sz="4" w:space="1" w:color="CCCCCC"/>
          <w:left w:val="single" w:sz="4" w:space="4" w:color="CCCCCC"/>
          <w:bottom w:val="single" w:sz="4" w:space="1" w:color="CCCCCC"/>
          <w:right w:val="single" w:sz="4" w:space="4" w:color="CCCCCC"/>
        </w:pBdr>
        <w:spacing w:before="60" w:after="60"/>
      </w:pPr>
      <w:r>
        <w:rPr>
          <w:rFonts w:ascii="Courier New" w:hAnsi="Courier New"/>
          <w:color w:val="1F1F1F"/>
          <w:sz w:val="14"/>
        </w:rPr>
        <w:t>version: "3.9"</w:t>
        <w:br/>
        <w:br/>
        <w:t>services:</w:t>
        <w:br/>
        <w:t xml:space="preserve">  postgres:</w:t>
        <w:br/>
        <w:t xml:space="preserve">    image: postgres:15-alpine</w:t>
        <w:br/>
        <w:t xml:space="preserve">    container_name: kingsley_postgres</w:t>
        <w:br/>
        <w:t xml:space="preserve">    restart: unless-stopped</w:t>
        <w:br/>
        <w:t xml:space="preserve">    environment:</w:t>
        <w:br/>
        <w:t xml:space="preserve">      POSTGRES_DB: kingsley_dev</w:t>
        <w:br/>
        <w:t xml:space="preserve">      POSTGRES_USER: postgres</w:t>
        <w:br/>
        <w:t xml:space="preserve">      POSTGRES_PASSWORD: postgres_secret</w:t>
        <w:br/>
        <w:t xml:space="preserve">    volumes:</w:t>
        <w:br/>
        <w:t xml:space="preserve">      - postgres_data:/var/lib/postgresql/data</w:t>
        <w:br/>
        <w:t xml:space="preserve">    ports:</w:t>
        <w:br/>
        <w:t xml:space="preserve">      - "5432:5432"</w:t>
        <w:br/>
        <w:t xml:space="preserve">    networks:</w:t>
        <w:br/>
        <w:t xml:space="preserve">      - kingsley_net</w:t>
        <w:br/>
        <w:t xml:space="preserve">    healthcheck:</w:t>
        <w:br/>
        <w:t xml:space="preserve">      test: ["CMD-SHELL", "pg_isready -U postgres"]</w:t>
        <w:br/>
        <w:t xml:space="preserve">      interval: 10s</w:t>
        <w:br/>
        <w:t xml:space="preserve">      timeout: 5s</w:t>
        <w:br/>
        <w:t xml:space="preserve">      retries: 5</w:t>
        <w:br/>
        <w:br/>
        <w:t xml:space="preserve">  redis:</w:t>
        <w:br/>
        <w:t xml:space="preserve">    image: redis:7-alpine</w:t>
        <w:br/>
        <w:t xml:space="preserve">    container_name: kingsley_redis</w:t>
        <w:br/>
        <w:t xml:space="preserve">    restart: unless-stopped</w:t>
        <w:br/>
        <w:t xml:space="preserve">    command: redis-server --save 60 1 --loglevel warning</w:t>
        <w:br/>
        <w:t xml:space="preserve">    volumes:</w:t>
        <w:br/>
        <w:t xml:space="preserve">      - redis_data:/data</w:t>
        <w:br/>
        <w:t xml:space="preserve">    networks:</w:t>
        <w:br/>
        <w:t xml:space="preserve">      - kingsley_net</w:t>
        <w:br/>
        <w:t xml:space="preserve">    healthcheck:</w:t>
        <w:br/>
        <w:t xml:space="preserve">      test: ["CMD", "redis-cli", "ping"]</w:t>
        <w:br/>
        <w:t xml:space="preserve">      interval: 10s</w:t>
        <w:br/>
        <w:t xml:space="preserve">      timeout: 5s</w:t>
        <w:br/>
        <w:t xml:space="preserve">      retries: 5</w:t>
        <w:br/>
        <w:br/>
        <w:t xml:space="preserve">  pgadmin:</w:t>
        <w:br/>
        <w:t xml:space="preserve">    image: dpage/pgadmin4:latest</w:t>
        <w:br/>
        <w:t xml:space="preserve">    container_name: kingsley_pgadmin</w:t>
        <w:br/>
        <w:t xml:space="preserve">    environment:</w:t>
        <w:br/>
        <w:t xml:space="preserve">      PGADMIN_DEFAULT_EMAIL: admin@kingsley.local</w:t>
        <w:br/>
        <w:t xml:space="preserve">      PGADMIN_DEFAULT_PASSWORD: pgadmin_secret</w:t>
        <w:br/>
        <w:t xml:space="preserve">    ports:</w:t>
        <w:br/>
        <w:t xml:space="preserve">      - "5050:80"</w:t>
        <w:br/>
        <w:t xml:space="preserve">    networks:</w:t>
        <w:br/>
        <w:t xml:space="preserve">      - kingsley_net</w:t>
        <w:br/>
        <w:t xml:space="preserve">    profiles:</w:t>
        <w:br/>
        <w:t xml:space="preserve">      - tools</w:t>
        <w:br/>
        <w:br/>
        <w:t xml:space="preserve">  auth-service:</w:t>
        <w:br/>
        <w:t xml:space="preserve">    build:</w:t>
        <w:br/>
        <w:t xml:space="preserve">      context: ./server</w:t>
        <w:br/>
        <w:t xml:space="preserve">      dockerfile: Dockerfile</w:t>
        <w:br/>
        <w:t xml:space="preserve">    container_name: kingsley_auth</w:t>
        <w:br/>
        <w:t xml:space="preserve">    restart: unless-stopped</w:t>
        <w:br/>
        <w:t xml:space="preserve">    env_file: ./server/.env</w:t>
        <w:br/>
        <w:t xml:space="preserve">    environment:</w:t>
        <w:br/>
        <w:t xml:space="preserve">      NODE_ENV: production</w:t>
        <w:br/>
        <w:t xml:space="preserve">      PORT: 3001</w:t>
        <w:br/>
        <w:t xml:space="preserve">    networks:</w:t>
        <w:br/>
        <w:t xml:space="preserve">      - kingsley_net</w:t>
        <w:br/>
        <w:t xml:space="preserve">    depends_on:</w:t>
        <w:br/>
        <w:t xml:space="preserve">      postgres:</w:t>
        <w:br/>
        <w:t xml:space="preserve">        condition: service_healthy</w:t>
        <w:br/>
        <w:br/>
        <w:t xml:space="preserve">  backend-api:</w:t>
        <w:br/>
        <w:t xml:space="preserve">    build:</w:t>
        <w:br/>
        <w:t xml:space="preserve">      context: ./server</w:t>
        <w:br/>
        <w:t xml:space="preserve">      dockerfile: Dockerfile</w:t>
        <w:br/>
        <w:t xml:space="preserve">    container_name: kingsley_backend</w:t>
        <w:br/>
        <w:t xml:space="preserve">    restart: unless-stopped</w:t>
        <w:br/>
        <w:t xml:space="preserve">    env_file: ./server/.env</w:t>
        <w:br/>
        <w:t xml:space="preserve">    environment:</w:t>
        <w:br/>
        <w:t xml:space="preserve">      NODE_ENV: production</w:t>
        <w:br/>
        <w:t xml:space="preserve">      PORT: 3002</w:t>
        <w:br/>
        <w:t xml:space="preserve">    networks:</w:t>
        <w:br/>
        <w:t xml:space="preserve">      - kingsley_net</w:t>
        <w:br/>
        <w:t xml:space="preserve">    depends_on:</w:t>
        <w:br/>
        <w:t xml:space="preserve">      postgres:</w:t>
        <w:br/>
        <w:t xml:space="preserve">        condition: service_healthy</w:t>
        <w:br/>
        <w:br/>
        <w:t xml:space="preserve">  ia-service:</w:t>
        <w:br/>
        <w:t xml:space="preserve">    build:</w:t>
        <w:br/>
        <w:t xml:space="preserve">      context: ./ia-engine</w:t>
        <w:br/>
        <w:t xml:space="preserve">      dockerfile: Dockerfile</w:t>
        <w:br/>
        <w:t xml:space="preserve">    container_name: kingsley_ia</w:t>
        <w:br/>
        <w:t xml:space="preserve">    restart: unless-stopped</w:t>
        <w:br/>
        <w:t xml:space="preserve">    env_file: ./ia-engine/.env</w:t>
        <w:br/>
        <w:t xml:space="preserve">    networks:</w:t>
        <w:br/>
        <w:t xml:space="preserve">      - kingsley_net</w:t>
        <w:br/>
        <w:br/>
        <w:t xml:space="preserve">  frontend:</w:t>
        <w:br/>
        <w:t xml:space="preserve">    build:</w:t>
        <w:br/>
        <w:t xml:space="preserve">      context: ./client</w:t>
        <w:br/>
        <w:t xml:space="preserve">      dockerfile: Dockerfile</w:t>
        <w:br/>
        <w:t xml:space="preserve">    container_name: kingsley_frontend</w:t>
        <w:br/>
        <w:t xml:space="preserve">    restart: unless-stopped</w:t>
        <w:br/>
        <w:t xml:space="preserve">    networks:</w:t>
        <w:br/>
        <w:t xml:space="preserve">      - kingsley_net</w:t>
        <w:br/>
        <w:br/>
        <w:t xml:space="preserve">  nginx:</w:t>
        <w:br/>
        <w:t xml:space="preserve">    image: nginx:1.25-alpine</w:t>
        <w:br/>
        <w:t xml:space="preserve">    container_name: kingsley_nginx</w:t>
        <w:br/>
        <w:t xml:space="preserve">    restart: unless-stopped</w:t>
        <w:br/>
        <w:t xml:space="preserve">    ports:</w:t>
        <w:br/>
        <w:t xml:space="preserve">      - "80:80"</w:t>
        <w:br/>
        <w:t xml:space="preserve">      - "443:443"</w:t>
        <w:br/>
        <w:t xml:space="preserve">    volumes:</w:t>
        <w:br/>
        <w:t xml:space="preserve">      - ./nginx/nginx.conf:/etc/nginx/nginx.conf:ro</w:t>
        <w:br/>
        <w:t xml:space="preserve">      - ./nginx/certs:/etc/nginx/certs:ro</w:t>
        <w:br/>
        <w:t xml:space="preserve">    networks:</w:t>
        <w:br/>
        <w:t xml:space="preserve">      - kingsley_net</w:t>
        <w:br/>
        <w:t xml:space="preserve">    depends_on:</w:t>
        <w:br/>
        <w:t xml:space="preserve">      - auth-service</w:t>
        <w:br/>
        <w:t xml:space="preserve">      - backend-api</w:t>
        <w:br/>
        <w:t xml:space="preserve">      - ia-service</w:t>
        <w:br/>
        <w:t xml:space="preserve">      - frontend</w:t>
        <w:br/>
        <w:br/>
        <w:t>networks:</w:t>
        <w:br/>
        <w:t xml:space="preserve">  kingsley_net:</w:t>
        <w:br/>
        <w:t xml:space="preserve">    driver: bridge</w:t>
        <w:br/>
        <w:br/>
        <w:t>volumes:</w:t>
        <w:br/>
        <w:t xml:space="preserve">  postgres_data:</w:t>
        <w:br/>
        <w:t xml:space="preserve">    driver: local</w:t>
        <w:br/>
        <w:t xml:space="preserve">  redis_data:</w:t>
        <w:br/>
        <w:t xml:space="preserve">    driver: local</w:t>
      </w:r>
    </w:p>
    <w:p>
      <w:r>
        <w:br w:type="page"/>
      </w:r>
    </w:p>
    <w:p>
      <w:pPr>
        <w:pStyle w:val="Heading2"/>
      </w:pPr>
      <w:r>
        <w:rPr>
          <w:rFonts w:ascii="Calibri" w:hAnsi="Calibri"/>
          <w:color w:val="2E6DB4"/>
        </w:rPr>
        <w:t>Anexo B — nginx.conf</w:t>
      </w:r>
    </w:p>
    <w:p>
      <w:pPr>
        <w:shd w:val="clear" w:color="auto" w:fill="F5F5F5"/>
        <w:pBdr>
          <w:top w:val="single" w:sz="4" w:space="1" w:color="CCCCCC"/>
          <w:left w:val="single" w:sz="4" w:space="4" w:color="CCCCCC"/>
          <w:bottom w:val="single" w:sz="4" w:space="1" w:color="CCCCCC"/>
          <w:right w:val="single" w:sz="4" w:space="4" w:color="CCCCCC"/>
        </w:pBdr>
        <w:spacing w:before="60" w:after="60"/>
      </w:pPr>
      <w:r>
        <w:rPr>
          <w:rFonts w:ascii="Courier New" w:hAnsi="Courier New"/>
          <w:color w:val="1F1F1F"/>
          <w:sz w:val="14"/>
        </w:rPr>
        <w:t>worker_processes auto;</w:t>
        <w:br/>
        <w:t>error_log /var/log/nginx/error.log warn;</w:t>
        <w:br/>
        <w:br/>
        <w:t>events {</w:t>
        <w:br/>
        <w:t xml:space="preserve">    worker_connections 1024;</w:t>
        <w:br/>
        <w:t>}</w:t>
        <w:br/>
        <w:br/>
        <w:t>http {</w:t>
        <w:br/>
        <w:t xml:space="preserve">    include       /etc/nginx/mime.types;</w:t>
        <w:br/>
        <w:t xml:space="preserve">    default_type  application/octet-stream;</w:t>
        <w:br/>
        <w:br/>
        <w:t xml:space="preserve">    sendfile on;</w:t>
        <w:br/>
        <w:t xml:space="preserve">    gzip on;</w:t>
        <w:br/>
        <w:t xml:space="preserve">    gzip_types text/plain text/css application/json application/javascript;</w:t>
        <w:br/>
        <w:br/>
        <w:t xml:space="preserve">    add_header X-Frame-Options "SAMEORIGIN" always;</w:t>
        <w:br/>
        <w:t xml:space="preserve">    add_header X-Content-Type-Options "nosniff" always;</w:t>
        <w:br/>
        <w:t xml:space="preserve">    server_tokens off;</w:t>
        <w:br/>
        <w:br/>
        <w:t xml:space="preserve">    limit_req_zone $binary_remote_addr zone=api_limit:10m  rate=30r/s;</w:t>
        <w:br/>
        <w:t xml:space="preserve">    limit_req_zone $binary_remote_addr zone=auth_limit:10m rate=5r/s;</w:t>
        <w:br/>
        <w:br/>
        <w:t xml:space="preserve">    upstream auth_backend   { server auth-service:3001; }</w:t>
        <w:br/>
        <w:t xml:space="preserve">    upstream api_backend    { server backend-api:3002; }</w:t>
        <w:br/>
        <w:t xml:space="preserve">    upstream ia_backend     { server ia-service:8000; }</w:t>
        <w:br/>
        <w:t xml:space="preserve">    upstream frontend_backend { server frontend:80; }</w:t>
        <w:br/>
        <w:br/>
        <w:t xml:space="preserve">    server {</w:t>
        <w:br/>
        <w:t xml:space="preserve">        listen 80;</w:t>
        <w:br/>
        <w:t xml:space="preserve">        return 301 https://$host$request_uri;</w:t>
        <w:br/>
        <w:t xml:space="preserve">    }</w:t>
        <w:br/>
        <w:br/>
        <w:t xml:space="preserve">    server {</w:t>
        <w:br/>
        <w:t xml:space="preserve">        listen 443 ssl http2;</w:t>
        <w:br/>
        <w:t xml:space="preserve">        server_name kingsley.local;</w:t>
        <w:br/>
        <w:br/>
        <w:t xml:space="preserve">        ssl_certificate     /etc/nginx/certs/kingsley.crt;</w:t>
        <w:br/>
        <w:t xml:space="preserve">        ssl_certificate_key /etc/nginx/certs/kingsley.key;</w:t>
        <w:br/>
        <w:t xml:space="preserve">        ssl_protocols       TLSv1.2 TLSv1.3;</w:t>
        <w:br/>
        <w:br/>
        <w:t xml:space="preserve">        location /api/auth/ {</w:t>
        <w:br/>
        <w:t xml:space="preserve">            limit_req zone=auth_limit burst=10 nodelay;</w:t>
        <w:br/>
        <w:t xml:space="preserve">            proxy_pass http://auth_backend/api/auth/;</w:t>
        <w:br/>
        <w:t xml:space="preserve">            proxy_set_header Host $host;</w:t>
        <w:br/>
        <w:t xml:space="preserve">            proxy_set_header X-Real-IP $remote_addr;</w:t>
        <w:br/>
        <w:t xml:space="preserve">        }</w:t>
        <w:br/>
        <w:br/>
        <w:t xml:space="preserve">        location /api/ {</w:t>
        <w:br/>
        <w:t xml:space="preserve">            limit_req zone=api_limit burst=50 nodelay;</w:t>
        <w:br/>
        <w:t xml:space="preserve">            proxy_pass http://api_backend/api/;</w:t>
        <w:br/>
        <w:t xml:space="preserve">            proxy_set_header Host $host;</w:t>
        <w:br/>
        <w:t xml:space="preserve">            proxy_set_header X-Real-IP $remote_addr;</w:t>
        <w:br/>
        <w:t xml:space="preserve">        }</w:t>
        <w:br/>
        <w:br/>
        <w:t xml:space="preserve">        location /ia/ {</w:t>
        <w:br/>
        <w:t xml:space="preserve">            proxy_pass http://ia_backend/;</w:t>
        <w:br/>
        <w:t xml:space="preserve">            proxy_set_header Host $host;</w:t>
        <w:br/>
        <w:t xml:space="preserve">        }</w:t>
        <w:br/>
        <w:br/>
        <w:t xml:space="preserve">        location / {</w:t>
        <w:br/>
        <w:t xml:space="preserve">            proxy_pass http://frontend_backend/;</w:t>
        <w:br/>
        <w:t xml:space="preserve">            proxy_set_header Host $host;</w:t>
        <w:br/>
        <w:t xml:space="preserve">        }</w:t>
        <w:br/>
        <w:t xml:space="preserve">    }</w:t>
        <w:br/>
        <w:t>}</w:t>
      </w:r>
    </w:p>
    <w:p>
      <w:r>
        <w:br w:type="page"/>
      </w:r>
    </w:p>
    <w:p>
      <w:pPr>
        <w:pStyle w:val="Heading2"/>
      </w:pPr>
      <w:r>
        <w:rPr>
          <w:rFonts w:ascii="Calibri" w:hAnsi="Calibri"/>
          <w:color w:val="2E6DB4"/>
        </w:rPr>
        <w:t>Anexo C — Dockerfiles</w:t>
      </w:r>
    </w:p>
    <w:p>
      <w:pPr>
        <w:pStyle w:val="Heading3"/>
      </w:pPr>
      <w:r>
        <w:rPr>
          <w:rFonts w:ascii="Calibri" w:hAnsi="Calibri"/>
          <w:color w:val="17615A"/>
        </w:rPr>
        <w:t>C.1 — server/Dockerfile</w:t>
      </w:r>
    </w:p>
    <w:p>
      <w:pPr>
        <w:shd w:val="clear" w:color="auto" w:fill="F5F5F5"/>
        <w:pBdr>
          <w:top w:val="single" w:sz="4" w:space="1" w:color="CCCCCC"/>
          <w:left w:val="single" w:sz="4" w:space="4" w:color="CCCCCC"/>
          <w:bottom w:val="single" w:sz="4" w:space="1" w:color="CCCCCC"/>
          <w:right w:val="single" w:sz="4" w:space="4" w:color="CCCCCC"/>
        </w:pBdr>
        <w:spacing w:before="60" w:after="60"/>
      </w:pPr>
      <w:r>
        <w:rPr>
          <w:rFonts w:ascii="Courier New" w:hAnsi="Courier New"/>
          <w:color w:val="1F1F1F"/>
          <w:sz w:val="16"/>
        </w:rPr>
        <w:t>FROM node:20-alpine AS base</w:t>
        <w:br/>
        <w:t>WORKDIR /app</w:t>
        <w:br/>
        <w:t>RUN apk add --no-cache python3 make g++</w:t>
        <w:br/>
        <w:br/>
        <w:t>FROM base AS deps</w:t>
        <w:br/>
        <w:t>COPY package*.json ./</w:t>
        <w:br/>
        <w:t>RUN npm ci --omit=dev</w:t>
        <w:br/>
        <w:br/>
        <w:t>FROM node:20-alpine AS runner</w:t>
        <w:br/>
        <w:t>WORKDIR /app</w:t>
        <w:br/>
        <w:t>ENV NODE_ENV=production</w:t>
        <w:br/>
        <w:t>RUN addgroup -g 1001 -S nodejs &amp;&amp; adduser -S nodejs -u 1001</w:t>
        <w:br/>
        <w:t>COPY --from=deps /app/node_modules ./node_modules</w:t>
        <w:br/>
        <w:t>COPY src/ ./src/</w:t>
        <w:br/>
        <w:t>COPY database/ ./database/</w:t>
        <w:br/>
        <w:t>COPY package.json .</w:t>
        <w:br/>
        <w:t>USER nodejs</w:t>
        <w:br/>
        <w:t>EXPOSE 3002</w:t>
        <w:br/>
        <w:t>CMD ["node", "src/server.js"]</w:t>
      </w:r>
    </w:p>
    <w:p>
      <w:pPr>
        <w:pStyle w:val="Heading3"/>
      </w:pPr>
      <w:r>
        <w:rPr>
          <w:rFonts w:ascii="Calibri" w:hAnsi="Calibri"/>
          <w:color w:val="17615A"/>
        </w:rPr>
        <w:t>C.2 — client/Dockerfile</w:t>
      </w:r>
    </w:p>
    <w:p>
      <w:pPr>
        <w:shd w:val="clear" w:color="auto" w:fill="F5F5F5"/>
        <w:pBdr>
          <w:top w:val="single" w:sz="4" w:space="1" w:color="CCCCCC"/>
          <w:left w:val="single" w:sz="4" w:space="4" w:color="CCCCCC"/>
          <w:bottom w:val="single" w:sz="4" w:space="1" w:color="CCCCCC"/>
          <w:right w:val="single" w:sz="4" w:space="4" w:color="CCCCCC"/>
        </w:pBdr>
        <w:spacing w:before="60" w:after="60"/>
      </w:pPr>
      <w:r>
        <w:rPr>
          <w:rFonts w:ascii="Courier New" w:hAnsi="Courier New"/>
          <w:color w:val="1F1F1F"/>
          <w:sz w:val="16"/>
        </w:rPr>
        <w:t>FROM node:20-alpine AS builder</w:t>
        <w:br/>
        <w:t>WORKDIR /app</w:t>
        <w:br/>
        <w:t>COPY package*.json ./</w:t>
        <w:br/>
        <w:t>RUN npm ci</w:t>
        <w:br/>
        <w:t>COPY . .</w:t>
        <w:br/>
        <w:t>ARG VITE_API_URL=/api</w:t>
        <w:br/>
        <w:t>ENV VITE_API_URL=$VITE_API_URL</w:t>
        <w:br/>
        <w:t>RUN npm run build</w:t>
        <w:br/>
        <w:br/>
        <w:t>FROM nginx:1.25-alpine AS runner</w:t>
        <w:br/>
        <w:t>RUN rm /etc/nginx/conf.d/default.conf</w:t>
        <w:br/>
        <w:t>COPY nginx/client-nginx.conf /etc/nginx/conf.d/default.conf</w:t>
        <w:br/>
        <w:t>COPY --from=builder /app/dist /usr/share/nginx/html</w:t>
        <w:br/>
        <w:t>EXPOSE 80</w:t>
        <w:br/>
        <w:t>CMD ["nginx", "-g", "daemon off;"]</w:t>
      </w:r>
    </w:p>
    <w:p>
      <w:pPr>
        <w:pStyle w:val="Heading3"/>
      </w:pPr>
      <w:r>
        <w:rPr>
          <w:rFonts w:ascii="Calibri" w:hAnsi="Calibri"/>
          <w:color w:val="17615A"/>
        </w:rPr>
        <w:t>C.3 — client/nginx/client-nginx.conf</w:t>
      </w:r>
    </w:p>
    <w:p>
      <w:pPr>
        <w:shd w:val="clear" w:color="auto" w:fill="F5F5F5"/>
        <w:pBdr>
          <w:top w:val="single" w:sz="4" w:space="1" w:color="CCCCCC"/>
          <w:left w:val="single" w:sz="4" w:space="4" w:color="CCCCCC"/>
          <w:bottom w:val="single" w:sz="4" w:space="1" w:color="CCCCCC"/>
          <w:right w:val="single" w:sz="4" w:space="4" w:color="CCCCCC"/>
        </w:pBdr>
        <w:spacing w:before="60" w:after="60"/>
      </w:pPr>
      <w:r>
        <w:rPr>
          <w:rFonts w:ascii="Courier New" w:hAnsi="Courier New"/>
          <w:color w:val="1F1F1F"/>
          <w:sz w:val="16"/>
        </w:rPr>
        <w:t>server {</w:t>
        <w:br/>
        <w:t xml:space="preserve">    listen 80;</w:t>
        <w:br/>
        <w:t xml:space="preserve">    root /usr/share/nginx/html;</w:t>
        <w:br/>
        <w:t xml:space="preserve">    index index.html;</w:t>
        <w:br/>
        <w:t xml:space="preserve">    gzip on;</w:t>
        <w:br/>
        <w:br/>
        <w:t xml:space="preserve">    location ~* \.(js|css|png|jpg|ico|svg|woff2?)$ {</w:t>
        <w:br/>
        <w:t xml:space="preserve">        expires 1y;</w:t>
        <w:br/>
        <w:t xml:space="preserve">        add_header Cache-Control "public, immutable";</w:t>
        <w:br/>
        <w:t xml:space="preserve">    }</w:t>
        <w:br/>
        <w:br/>
        <w:t xml:space="preserve">    location /health {</w:t>
        <w:br/>
        <w:t xml:space="preserve">        access_log off;</w:t>
        <w:br/>
        <w:t xml:space="preserve">        return 200 "OK\n";</w:t>
        <w:br/>
        <w:t xml:space="preserve">    }</w:t>
        <w:br/>
        <w:br/>
        <w:t xml:space="preserve">    location / {</w:t>
        <w:br/>
        <w:t xml:space="preserve">        try_files $uri $uri/ /index.html;</w:t>
        <w:br/>
        <w:t xml:space="preserve">    }</w:t>
        <w:br/>
        <w:t>}</w:t>
      </w:r>
    </w:p>
    <w:p>
      <w:r>
        <w:br w:type="page"/>
      </w:r>
    </w:p>
    <w:p>
      <w:pPr>
        <w:pStyle w:val="Heading2"/>
      </w:pPr>
      <w:r>
        <w:rPr>
          <w:rFonts w:ascii="Calibri" w:hAnsi="Calibri"/>
          <w:color w:val="2E6DB4"/>
        </w:rPr>
        <w:t>Anexo D — Variables de Entorno (.env.example)</w:t>
      </w:r>
    </w:p>
    <w:p>
      <w:pPr>
        <w:pStyle w:val="Heading3"/>
      </w:pPr>
      <w:r>
        <w:rPr>
          <w:rFonts w:ascii="Calibri" w:hAnsi="Calibri"/>
          <w:color w:val="17615A"/>
        </w:rPr>
        <w:t>D.1 — server/.env.example</w:t>
      </w:r>
    </w:p>
    <w:p>
      <w:pPr>
        <w:shd w:val="clear" w:color="auto" w:fill="F5F5F5"/>
        <w:pBdr>
          <w:top w:val="single" w:sz="4" w:space="1" w:color="CCCCCC"/>
          <w:left w:val="single" w:sz="4" w:space="4" w:color="CCCCCC"/>
          <w:bottom w:val="single" w:sz="4" w:space="1" w:color="CCCCCC"/>
          <w:right w:val="single" w:sz="4" w:space="4" w:color="CCCCCC"/>
        </w:pBdr>
        <w:spacing w:before="60" w:after="60"/>
      </w:pPr>
      <w:r>
        <w:rPr>
          <w:rFonts w:ascii="Courier New" w:hAnsi="Courier New"/>
          <w:color w:val="1F1F1F"/>
          <w:sz w:val="16"/>
        </w:rPr>
        <w:t>NODE_ENV=development</w:t>
        <w:br/>
        <w:t>PORT=3002</w:t>
        <w:br/>
        <w:br/>
        <w:t># Supabase (producción)</w:t>
        <w:br/>
        <w:t>DATABASE_URL=postgresql://postgres:&lt;password&gt;@db.&lt;project&gt;.supabase.co:5432/postgres?sslmode=require</w:t>
        <w:br/>
        <w:br/>
        <w:t># PostgreSQL local (desarrollo)</w:t>
        <w:br/>
        <w:t># DB_HOST=127.0.0.1</w:t>
        <w:br/>
        <w:t># DB_PORT=5432</w:t>
        <w:br/>
        <w:t># DB_NAME=kingsley_dev</w:t>
        <w:br/>
        <w:t># DB_USER=postgres</w:t>
        <w:br/>
        <w:t># DB_PASSWORD=postgres_secret</w:t>
        <w:br/>
        <w:br/>
        <w:t>JWT_ACCESS_SECRET=CHANGE_ME_access_secret_min_32_chars</w:t>
        <w:br/>
        <w:t>JWT_REFRESH_SECRET=CHANGE_ME_refresh_secret_min_32_chars</w:t>
        <w:br/>
        <w:t>JWT_ACCESS_EXPIRY=15m</w:t>
        <w:br/>
        <w:t>JWT_REFRESH_EXPIRY=7d</w:t>
        <w:br/>
        <w:br/>
        <w:t>FRONTEND_URL=http://localhost:5174</w:t>
        <w:br/>
        <w:t>REDIS_URL=redis://localhost:6379</w:t>
        <w:br/>
        <w:t>ETH_RPC_URL=https://sepolia.infura.io/v3/&lt;PROJECT_ID&gt;</w:t>
        <w:br/>
        <w:t>ETH_CHAIN_ID=11155111</w:t>
        <w:br/>
        <w:t>LOG_LEVEL=debug</w:t>
      </w:r>
    </w:p>
    <w:p>
      <w:pPr>
        <w:pStyle w:val="Heading3"/>
      </w:pPr>
      <w:r>
        <w:rPr>
          <w:rFonts w:ascii="Calibri" w:hAnsi="Calibri"/>
          <w:color w:val="17615A"/>
        </w:rPr>
        <w:t>D.2 — client/.env.example</w:t>
      </w:r>
    </w:p>
    <w:p>
      <w:pPr>
        <w:shd w:val="clear" w:color="auto" w:fill="F5F5F5"/>
        <w:pBdr>
          <w:top w:val="single" w:sz="4" w:space="1" w:color="CCCCCC"/>
          <w:left w:val="single" w:sz="4" w:space="4" w:color="CCCCCC"/>
          <w:bottom w:val="single" w:sz="4" w:space="1" w:color="CCCCCC"/>
          <w:right w:val="single" w:sz="4" w:space="4" w:color="CCCCCC"/>
        </w:pBdr>
        <w:spacing w:before="60" w:after="60"/>
      </w:pPr>
      <w:r>
        <w:rPr>
          <w:rFonts w:ascii="Courier New" w:hAnsi="Courier New"/>
          <w:color w:val="1F1F1F"/>
          <w:sz w:val="16"/>
        </w:rPr>
        <w:t>VITE_API_URL=http://localhost:3002/api</w:t>
        <w:br/>
        <w:t>VITE_ETH_CHAIN_ID=11155111</w:t>
        <w:br/>
        <w:t>VITE_ETH_RPC_URL=https://sepolia.infura.io/v3/&lt;PROJECT_ID&gt;</w:t>
        <w:br/>
        <w:t>VITE_DEVTOOLS=true</w:t>
      </w:r>
    </w:p>
    <w:p>
      <w:r>
        <w:br w:type="page"/>
      </w:r>
    </w:p>
    <w:p>
      <w:pPr>
        <w:pStyle w:val="Heading2"/>
      </w:pPr>
      <w:r>
        <w:rPr>
          <w:rFonts w:ascii="Calibri" w:hAnsi="Calibri"/>
          <w:color w:val="2E6DB4"/>
        </w:rPr>
        <w:t>Anexo E — Esquema Relacional de Base de Datos</w:t>
      </w:r>
    </w:p>
    <w:p>
      <w:r>
        <w:rPr>
          <w:rFonts w:ascii="Calibri" w:hAnsi="Calibri"/>
          <w:b w:val="0"/>
          <w:i w:val="0"/>
          <w:sz w:val="22"/>
        </w:rPr>
        <w:t>PostgreSQL 15 · Supabase Managed · 13 tablas · underscored: true</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Tabla</w:t>
            </w:r>
          </w:p>
        </w:tc>
        <w:tc>
          <w:tcPr>
            <w:tcW w:type="dxa" w:w="3969"/>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Columnas clave</w:t>
            </w:r>
          </w:p>
        </w:tc>
        <w:tc>
          <w:tcPr>
            <w:tcW w:type="dxa" w:w="3402"/>
            <w:shd w:val="clear" w:color="auto" w:fill="2E6DB4"/>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pPr>
              <w:jc w:val="center"/>
            </w:pPr>
            <w:r/>
            <w:r>
              <w:rPr>
                <w:rFonts w:ascii="Calibri" w:hAnsi="Calibri"/>
                <w:b/>
                <w:color w:val="FFFFFF"/>
                <w:sz w:val="20"/>
              </w:rPr>
              <w:t>Relaciones</w:t>
            </w:r>
          </w:p>
        </w:tc>
      </w:tr>
      <w:tr>
        <w:tc>
          <w:tcPr>
            <w:tcW w:type="dxa" w:w="198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users</w:t>
            </w:r>
          </w:p>
        </w:tc>
        <w:tc>
          <w:tcPr>
            <w:tcW w:type="dxa" w:w="396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id, email (UQ), password_hash, role, first_name, last_name, is_active</w:t>
            </w:r>
          </w:p>
        </w:tc>
        <w:tc>
          <w:tcPr>
            <w:tcW w:type="dxa" w:w="3402"/>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Padre de stores, carts, orders, refresh_tokens</w:t>
            </w:r>
          </w:p>
        </w:tc>
      </w:tr>
      <w:tr>
        <w:tc>
          <w:tcPr>
            <w:tcW w:type="dxa" w:w="1984"/>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stores</w:t>
            </w:r>
          </w:p>
        </w:tc>
        <w:tc>
          <w:tcPr>
            <w:tcW w:type="dxa" w:w="3969"/>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id, vendor_id→users, name, slug (UQ), status, crypto_wallet_address</w:t>
            </w:r>
          </w:p>
        </w:tc>
        <w:tc>
          <w:tcPr>
            <w:tcW w:type="dxa" w:w="3402"/>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Padre de products, orders</w:t>
            </w:r>
          </w:p>
        </w:tc>
      </w:tr>
      <w:tr>
        <w:tc>
          <w:tcPr>
            <w:tcW w:type="dxa" w:w="198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products</w:t>
            </w:r>
          </w:p>
        </w:tc>
        <w:tc>
          <w:tcPr>
            <w:tcW w:type="dxa" w:w="396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id, store_id→stores, name, slug (UQ), base_price, category, status</w:t>
            </w:r>
          </w:p>
        </w:tc>
        <w:tc>
          <w:tcPr>
            <w:tcW w:type="dxa" w:w="3402"/>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Padre de product_variants</w:t>
            </w:r>
          </w:p>
        </w:tc>
      </w:tr>
      <w:tr>
        <w:tc>
          <w:tcPr>
            <w:tcW w:type="dxa" w:w="1984"/>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product_variants</w:t>
            </w:r>
          </w:p>
        </w:tc>
        <w:tc>
          <w:tcPr>
            <w:tcW w:type="dxa" w:w="3969"/>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id, product_id→products, sku (UQ), size, color, stock≥0</w:t>
            </w:r>
          </w:p>
        </w:tc>
        <w:tc>
          <w:tcPr>
            <w:tcW w:type="dxa" w:w="3402"/>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Padre de cart_items, order_items, inventory_movements</w:t>
            </w:r>
          </w:p>
        </w:tc>
      </w:tr>
      <w:tr>
        <w:tc>
          <w:tcPr>
            <w:tcW w:type="dxa" w:w="198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inventory_movements</w:t>
            </w:r>
          </w:p>
        </w:tc>
        <w:tc>
          <w:tcPr>
            <w:tcW w:type="dxa" w:w="396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id, variant_id, type, qty_delta, qty_after, reference_id</w:t>
            </w:r>
          </w:p>
        </w:tc>
        <w:tc>
          <w:tcPr>
            <w:tcW w:type="dxa" w:w="3402"/>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Hija de product_variants</w:t>
            </w:r>
          </w:p>
        </w:tc>
      </w:tr>
      <w:tr>
        <w:tc>
          <w:tcPr>
            <w:tcW w:type="dxa" w:w="1984"/>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carts</w:t>
            </w:r>
          </w:p>
        </w:tc>
        <w:tc>
          <w:tcPr>
            <w:tcW w:type="dxa" w:w="3969"/>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id, user_id→users (UQ)</w:t>
            </w:r>
          </w:p>
        </w:tc>
        <w:tc>
          <w:tcPr>
            <w:tcW w:type="dxa" w:w="3402"/>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Padre de cart_items</w:t>
            </w:r>
          </w:p>
        </w:tc>
      </w:tr>
      <w:tr>
        <w:tc>
          <w:tcPr>
            <w:tcW w:type="dxa" w:w="198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cart_items</w:t>
            </w:r>
          </w:p>
        </w:tc>
        <w:tc>
          <w:tcPr>
            <w:tcW w:type="dxa" w:w="396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id, cart_id, variant_id, quantity≥1, UNIQUE(cart_id,variant_id)</w:t>
            </w:r>
          </w:p>
        </w:tc>
        <w:tc>
          <w:tcPr>
            <w:tcW w:type="dxa" w:w="3402"/>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Hija de carts y product_variants</w:t>
            </w:r>
          </w:p>
        </w:tc>
      </w:tr>
      <w:tr>
        <w:tc>
          <w:tcPr>
            <w:tcW w:type="dxa" w:w="1984"/>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orders</w:t>
            </w:r>
          </w:p>
        </w:tc>
        <w:tc>
          <w:tcPr>
            <w:tcW w:type="dxa" w:w="3969"/>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id, store_id, customer_id, status, subtotal, total, shipping_address JSONB</w:t>
            </w:r>
          </w:p>
        </w:tc>
        <w:tc>
          <w:tcPr>
            <w:tcW w:type="dxa" w:w="3402"/>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Padre de order_items, payment_transactions</w:t>
            </w:r>
          </w:p>
        </w:tc>
      </w:tr>
      <w:tr>
        <w:tc>
          <w:tcPr>
            <w:tcW w:type="dxa" w:w="198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order_items</w:t>
            </w:r>
          </w:p>
        </w:tc>
        <w:tc>
          <w:tcPr>
            <w:tcW w:type="dxa" w:w="396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id, order_id, variant_id, quantity, unit_price</w:t>
            </w:r>
          </w:p>
        </w:tc>
        <w:tc>
          <w:tcPr>
            <w:tcW w:type="dxa" w:w="3402"/>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Hija de orders y product_variants</w:t>
            </w:r>
          </w:p>
        </w:tc>
      </w:tr>
      <w:tr>
        <w:tc>
          <w:tcPr>
            <w:tcW w:type="dxa" w:w="1984"/>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payment_transactions</w:t>
            </w:r>
          </w:p>
        </w:tc>
        <w:tc>
          <w:tcPr>
            <w:tcW w:type="dxa" w:w="3969"/>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id, order_id, provider, provider_tx_id, amount, status</w:t>
            </w:r>
          </w:p>
        </w:tc>
        <w:tc>
          <w:tcPr>
            <w:tcW w:type="dxa" w:w="3402"/>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Hija de orders</w:t>
            </w:r>
          </w:p>
        </w:tc>
      </w:tr>
      <w:tr>
        <w:tc>
          <w:tcPr>
            <w:tcW w:type="dxa" w:w="1984"/>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refresh_tokens</w:t>
            </w:r>
          </w:p>
        </w:tc>
        <w:tc>
          <w:tcPr>
            <w:tcW w:type="dxa" w:w="3969"/>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id, user_id, token_hash (UQ), expires_at, revoked_at</w:t>
            </w:r>
          </w:p>
        </w:tc>
        <w:tc>
          <w:tcPr>
            <w:tcW w:type="dxa" w:w="3402"/>
            <w:shd w:val="clear" w:color="auto" w:fill="FFFFFF"/>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Hija de users</w:t>
            </w:r>
          </w:p>
        </w:tc>
      </w:tr>
      <w:tr>
        <w:tc>
          <w:tcPr>
            <w:tcW w:type="dxa" w:w="1984"/>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audit_logs</w:t>
            </w:r>
          </w:p>
        </w:tc>
        <w:tc>
          <w:tcPr>
            <w:tcW w:type="dxa" w:w="3969"/>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id, user_id, action, entity_type, entity_id, old_values JSONB</w:t>
            </w:r>
          </w:p>
        </w:tc>
        <w:tc>
          <w:tcPr>
            <w:tcW w:type="dxa" w:w="3402"/>
            <w:shd w:val="clear" w:color="auto" w:fill="F0F4FA"/>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cBorders>
          </w:tcPr>
          <w:p>
            <w:r/>
            <w:r>
              <w:rPr>
                <w:rFonts w:ascii="Calibri" w:hAnsi="Calibri"/>
                <w:sz w:val="20"/>
              </w:rPr>
              <w:t>Hija de users</w:t>
            </w:r>
          </w:p>
        </w:tc>
      </w:tr>
    </w:tbl>
    <w:p>
      <w:r>
        <w:rPr>
          <w:rFonts w:ascii="Calibri" w:hAnsi="Calibri"/>
          <w:b w:val="0"/>
          <w:i w:val="0"/>
          <w:sz w:val="22"/>
        </w:rPr>
        <w:t>Índices principales: idx_products_store_id, idx_orders_store_id, idx_orders_status, idx_products_status, idx_variants_sku (unique), idx_cart_user (unique), idx_stores_slug (unique), idx_products_slug (unique).</w:t>
      </w:r>
    </w:p>
    <w:p/>
    <w:p>
      <w:pPr>
        <w:jc w:val="center"/>
      </w:pPr>
      <w:r>
        <w:rPr>
          <w:rFonts w:ascii="Calibri" w:hAnsi="Calibri"/>
          <w:i/>
          <w:color w:val="888888"/>
          <w:sz w:val="18"/>
        </w:rPr>
        <w:t>Fin del documento — Octavo Entregable: Implementación y Documentación | Kingsley Caps · Ingeniería en Sistemas de Información · 2026-1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