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color w:val="666666"/>
          <w:sz w:val="24"/>
          <w:szCs w:val="24"/>
        </w:rPr>
        <w:t xml:space="preserve">CSS-OPS-DOC-004</w:t>
      </w:r>
    </w:p>
    <w:p>
      <w:pPr>
        <w:spacing w:after="60"/>
        <w:jc w:val="center"/>
      </w:pPr>
      <w:r>
        <w:rPr>
          <w:rFonts w:ascii="Arial" w:cs="Arial" w:eastAsia="Arial" w:hAnsi="Arial"/>
          <w:b/>
          <w:bCs/>
          <w:color w:val="1A1A2E"/>
          <w:sz w:val="52"/>
          <w:szCs w:val="52"/>
        </w:rPr>
        <w:t xml:space="preserve">PIOPL AGENT</w:t>
      </w:r>
    </w:p>
    <w:p>
      <w:pPr>
        <w:spacing w:after="60"/>
        <w:jc w:val="center"/>
      </w:pPr>
      <w:r>
        <w:rPr>
          <w:rFonts w:ascii="Arial" w:cs="Arial" w:eastAsia="Arial" w:hAnsi="Arial"/>
          <w:b/>
          <w:bCs/>
          <w:color w:val="1A1A2E"/>
          <w:sz w:val="52"/>
          <w:szCs w:val="52"/>
        </w:rPr>
        <w:t xml:space="preserve">DEPLOYMENT ENGINE</w:t>
      </w:r>
    </w:p>
    <w:p>
      <w:pPr>
        <w:spacing w:after="300"/>
        <w:jc w:val="center"/>
      </w:pPr>
      <w:r>
        <w:rPr>
          <w:rFonts w:ascii="Arial" w:cs="Arial" w:eastAsia="Arial" w:hAnsi="Arial"/>
          <w:i/>
          <w:iCs/>
          <w:color w:val="2E75B6"/>
          <w:sz w:val="24"/>
          <w:szCs w:val="24"/>
        </w:rPr>
        <w:t xml:space="preserve">Enterprise-Scale Agent Provisioning, Governance, and Revenue Operations</w:t>
      </w:r>
    </w:p>
    <w:p>
      <w:pPr>
        <w:pBdr>
          <w:top w:val="single" w:color="2E75B6" w:sz="4" w:space="4"/>
          <w:bottom w:val="single" w:color="2E75B6" w:sz="4" w:space="4"/>
        </w:pBdr>
        <w:spacing w:before="100" w:after="100"/>
        <w:jc w:val="center"/>
      </w:pPr>
      <w:r>
        <w:rPr>
          <w:rFonts w:ascii="Arial" w:cs="Arial" w:eastAsia="Arial" w:hAnsi="Arial"/>
          <w:b/>
          <w:bCs/>
          <w:color w:val="CC0000"/>
          <w:sz w:val="22"/>
          <w:szCs w:val="22"/>
        </w:rPr>
        <w:t xml:space="preserve">25,000 GOVERNED AGENTS. EACH WITH IDENTITY. EACH EARNING. EACH AUDITABLE.</w:t>
      </w:r>
    </w:p>
    <w:p>
      <w:pPr>
        <w:spacing w:before="4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Document Reference</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CSS-OPS-DOC-004</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Version</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DRAFT — FOR LT REVIEW</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Classification</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INTERNAL — LT DISTRIBUTION ONLY</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Author</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Andy Jones, Steward</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Date</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 February 2026</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Derives From</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CSS-OPS-DOC-003 (Post-SIP Execution Engine), CSS-STRAT-DOC-001 (Creator777 Strategy)</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Constitutional Weight</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BINDING — Post LT Buy-Off</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Distribution</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Andy (FULL), Steven (FULL), Chris Bevan (GOV/OPS), Tom Maher (ROLLOUT)</w:t>
            </w:r>
          </w:p>
        </w:tc>
      </w:tr>
    </w:tbl>
    <w:p>
      <w:pPr>
        <w:pageBreakBefore/>
      </w:pPr>
      <w:r>
        <w:t xml:space="preserve"/>
      </w:r>
    </w:p>
    <w:p>
      <w:pPr>
        <w:pStyle w:val="Heading1"/>
        <w:spacing w:before="300" w:after="200"/>
      </w:pPr>
      <w:r>
        <w:rPr>
          <w:rFonts w:ascii="Arial" w:cs="Arial" w:eastAsia="Arial" w:hAnsi="Arial"/>
        </w:rPr>
        <w:t xml:space="preserve">1. WHAT THIS DOCUMENT DOES</w:t>
      </w:r>
    </w:p>
    <w:p>
      <w:pPr>
        <w:spacing w:after="160" w:before="0"/>
        <w:jc w:val="left"/>
      </w:pPr>
      <w:r>
        <w:rPr>
          <w:rFonts w:ascii="Arial" w:cs="Arial" w:eastAsia="Arial" w:hAnsi="Arial"/>
          <w:b w:val="false"/>
          <w:bCs w:val="false"/>
          <w:i w:val="false"/>
          <w:iCs w:val="false"/>
          <w:color w:val="000000"/>
          <w:sz w:val="22"/>
          <w:szCs w:val="22"/>
        </w:rPr>
        <w:t xml:space="preserve">This document defines how to deploy, govern, and scale a fleet of PIOPL agents (Personal Intelligence Operating Partner Links) as digital employees of Codex Sovereign Systems.</w:t>
      </w:r>
    </w:p>
    <w:p>
      <w:pPr>
        <w:spacing w:after="160" w:before="0"/>
        <w:jc w:val="left"/>
      </w:pPr>
      <w:r>
        <w:rPr>
          <w:rFonts w:ascii="Arial" w:cs="Arial" w:eastAsia="Arial" w:hAnsi="Arial"/>
          <w:b w:val="false"/>
          <w:bCs w:val="false"/>
          <w:i w:val="false"/>
          <w:iCs w:val="false"/>
          <w:color w:val="000000"/>
          <w:sz w:val="22"/>
          <w:szCs w:val="22"/>
        </w:rPr>
        <w:t xml:space="preserve">A PIOPL agent is an autonomous AI entity that generates revenue through digital product creation, promotion, and sales. Each agent has its own identity, capabilities, governance constraints, and earning streams. The target is 25,000 agents, each individually profiled.</w:t>
      </w:r>
    </w:p>
    <w:p>
      <w:pPr>
        <w:spacing w:after="160" w:before="0"/>
        <w:jc w:val="left"/>
      </w:pPr>
      <w:r>
        <w:rPr>
          <w:rFonts w:ascii="Arial" w:cs="Arial" w:eastAsia="Arial" w:hAnsi="Arial"/>
          <w:b w:val="false"/>
          <w:bCs w:val="false"/>
          <w:i w:val="false"/>
          <w:iCs w:val="false"/>
          <w:color w:val="000000"/>
          <w:sz w:val="22"/>
          <w:szCs w:val="22"/>
        </w:rPr>
        <w:t xml:space="preserve">This document does not replace CSS-OPS-DOC-003 (the Post-SIP Execution Engine). It extends it. Every agent deployment is a SIP. Every agent action is an atomic task. Every agent is subject to the same Watchtower/Sentinel enforcement as any other execution pipeline.</w:t>
      </w:r>
    </w:p>
    <w:p>
      <w:pPr>
        <w:pBdr>
          <w:left w:val="single" w:color="CC0000" w:sz="12" w:space="4"/>
        </w:pBdr>
        <w:spacing w:before="200" w:after="200"/>
        <w:ind w:left="200"/>
      </w:pPr>
      <w:r>
        <w:rPr>
          <w:rFonts w:ascii="Arial" w:cs="Arial" w:eastAsia="Arial" w:hAnsi="Arial"/>
          <w:b/>
          <w:bCs/>
          <w:color w:val="CC0000"/>
          <w:sz w:val="22"/>
          <w:szCs w:val="22"/>
        </w:rPr>
        <w:t xml:space="preserve">INVARIANT: </w:t>
      </w:r>
      <w:r>
        <w:rPr>
          <w:rFonts w:ascii="Arial" w:cs="Arial" w:eastAsia="Arial" w:hAnsi="Arial"/>
          <w:sz w:val="22"/>
          <w:szCs w:val="22"/>
        </w:rPr>
        <w:t xml:space="preserve">A PIOPL agent is a governed digital employee, not an unmonitored script. It has identity, boundaries, audit trails, and a kill switch. If any of these are missing, the agent cannot be deployed.</w:t>
      </w:r>
    </w:p>
    <w:p>
      <w:pPr>
        <w:pStyle w:val="Heading1"/>
        <w:spacing w:before="300" w:after="200"/>
      </w:pPr>
      <w:r>
        <w:rPr>
          <w:rFonts w:ascii="Arial" w:cs="Arial" w:eastAsia="Arial" w:hAnsi="Arial"/>
        </w:rPr>
        <w:t xml:space="preserve">2. WHAT A PIOPL AGENT IS (AND IS NOT)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 PIOPL AGENT IS</w:t>
            </w:r>
          </w:p>
        </w:tc>
        <w:tc>
          <w:tcPr>
            <w:tcW w:type="dxa" w:w="475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 PIOPL AGENT IS NOT</w:t>
            </w:r>
          </w:p>
        </w:tc>
      </w:tr>
      <w:tr>
        <w:tc>
          <w:tcPr>
            <w:tcW w:type="dxa" w:w="4753"/>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digital employee with a unique identity and profile</w:t>
            </w:r>
          </w:p>
        </w:tc>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cron job or unmonitored script</w:t>
            </w:r>
          </w:p>
        </w:tc>
      </w:tr>
      <w:tr>
        <w:tc>
          <w:tcPr>
            <w:tcW w:type="dxa" w:w="4753"/>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Governed by constitutional invariants with evidence-grade audit</w:t>
            </w:r>
          </w:p>
        </w:tc>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black box that runs without oversight</w:t>
            </w:r>
          </w:p>
        </w:tc>
      </w:tr>
      <w:tr>
        <w:tc>
          <w:tcPr>
            <w:tcW w:type="dxa" w:w="4753"/>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Assigned specific capabilities via signed tokens (revocable)</w:t>
            </w:r>
          </w:p>
        </w:tc>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Granted blanket access to all systems</w:t>
            </w:r>
          </w:p>
        </w:tc>
      </w:tr>
      <w:tr>
        <w:tc>
          <w:tcPr>
            <w:tcW w:type="dxa" w:w="4753"/>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Revenue-generating with tracked earnings per agent</w:t>
            </w:r>
          </w:p>
        </w:tc>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cost centre or internal tool only</w:t>
            </w:r>
          </w:p>
        </w:tc>
      </w:tr>
      <w:tr>
        <w:tc>
          <w:tcPr>
            <w:tcW w:type="dxa" w:w="4753"/>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Deployed via SIP (frozen plan, gate review, evidence)</w:t>
            </w:r>
          </w:p>
        </w:tc>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Spun up ad hoc without governance</w:t>
            </w:r>
          </w:p>
        </w:tc>
      </w:tr>
      <w:tr>
        <w:tc>
          <w:tcPr>
            <w:tcW w:type="dxa" w:w="4753"/>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Capable of halting itself if output quality is below threshold</w:t>
            </w:r>
          </w:p>
        </w:tc>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Allowed to produce garbage to meet a quota</w:t>
            </w:r>
          </w:p>
        </w:tc>
      </w:tr>
    </w:tbl>
    <w:p>
      <w:pPr>
        <w:spacing w:after="160" w:before="0"/>
        <w:jc w:val="left"/>
      </w:pPr>
      <w:r>
        <w:rPr>
          <w:rFonts w:ascii="Arial" w:cs="Arial" w:eastAsia="Arial" w:hAnsi="Arial"/>
          <w:b w:val="false"/>
          <w:bCs w:val="false"/>
          <w:i w:val="false"/>
          <w:iCs w:val="false"/>
          <w:color w:val="000000"/>
          <w:sz w:val="22"/>
          <w:szCs w:val="22"/>
        </w:rPr>
        <w:t xml:space="preserve"/>
      </w:r>
    </w:p>
    <w:p>
      <w:pPr>
        <w:spacing w:after="160" w:before="0"/>
        <w:jc w:val="left"/>
      </w:pPr>
      <w:r>
        <w:rPr>
          <w:rFonts w:ascii="Arial" w:cs="Arial" w:eastAsia="Arial" w:hAnsi="Arial"/>
          <w:b w:val="false"/>
          <w:bCs w:val="false"/>
          <w:i w:val="false"/>
          <w:iCs w:val="false"/>
          <w:color w:val="000000"/>
          <w:sz w:val="22"/>
          <w:szCs w:val="22"/>
        </w:rPr>
        <w:t xml:space="preserve">Agents can serve two models. Personal use: a human subscribes to an agent that manages their passive income streams. Enterprise use: CSS deploys agents directly to scale Track A (micro-replicator) revenue without human overhead per stream.</w:t>
      </w:r>
    </w:p>
    <w:p>
      <w:pPr>
        <w:pStyle w:val="Heading1"/>
        <w:spacing w:before="300" w:after="200"/>
      </w:pPr>
      <w:r>
        <w:rPr>
          <w:rFonts w:ascii="Arial" w:cs="Arial" w:eastAsia="Arial" w:hAnsi="Arial"/>
        </w:rPr>
        <w:t xml:space="preserve">3. AGENT PROFILE SCHEMA</w:t>
      </w:r>
    </w:p>
    <w:p>
      <w:pPr>
        <w:spacing w:after="160" w:before="0"/>
        <w:jc w:val="left"/>
      </w:pPr>
      <w:r>
        <w:rPr>
          <w:rFonts w:ascii="Arial" w:cs="Arial" w:eastAsia="Arial" w:hAnsi="Arial"/>
          <w:b w:val="false"/>
          <w:bCs w:val="false"/>
          <w:i w:val="false"/>
          <w:iCs w:val="false"/>
          <w:color w:val="000000"/>
          <w:sz w:val="22"/>
          <w:szCs w:val="22"/>
        </w:rPr>
        <w:t xml:space="preserve">Every PIOPL agent has a structured profile. This is the canonical schema. No agent can be deployed without a complete, validated profile.</w:t>
      </w:r>
    </w:p>
    <w:p>
      <w:pPr>
        <w:pStyle w:val="Heading2"/>
        <w:spacing w:before="240" w:after="160"/>
      </w:pPr>
      <w:r>
        <w:rPr>
          <w:rFonts w:ascii="Arial" w:cs="Arial" w:eastAsia="Arial" w:hAnsi="Arial"/>
        </w:rPr>
        <w:t xml:space="preserve">3.1 Identity Block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6"/>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 / FORMAT</w:t>
            </w:r>
          </w:p>
        </w:tc>
        <w:tc>
          <w:tcPr>
            <w:tcW w:type="dxa" w:w="41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agent_id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 Auto-generated. Immutable.</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piopl_00001</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Human-readable label.</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ContentCrafter_Alpha</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Enum from role registry.</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digital_product_generator</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tier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 1 / 2 (see Section 4).</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version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SemVer. Increments on profile change.</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created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ISO 8601 timestamp.</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2026-02-16T15:00:00Z</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pending | active | paused | terminated</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active</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owner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Human or org entity responsible.</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andy.jones@css</w:t>
            </w:r>
          </w:p>
        </w:tc>
      </w:tr>
    </w:tbl>
    <w:p>
      <w:pPr>
        <w:pStyle w:val="Heading2"/>
        <w:spacing w:before="240" w:after="160"/>
      </w:pPr>
      <w:r>
        <w:rPr>
          <w:rFonts w:ascii="Arial" w:cs="Arial" w:eastAsia="Arial" w:hAnsi="Arial"/>
        </w:rPr>
        <w:t xml:space="preserve">3.2 Capability Block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6"/>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 / FORMAT</w:t>
            </w:r>
          </w:p>
        </w:tc>
        <w:tc>
          <w:tcPr>
            <w:tcW w:type="dxa" w:w="41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capabilities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Array of capability token IDs.</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[trend_scan, template_gen, gumroad_publish]</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can_send_to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Allowlist of external endpoints.</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[gumroad_api, linkedin_api]</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never_sends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Hard blocklist. Constitutional.</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[customer_pii, financial_credentials, unauthorised_prompts]</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max_spend_per_day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Currency amount. Hard cap.</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 (Tier 0 agents cannot spend)</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output_confidence_floor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 0–1. Below this, agent halts.</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0.85</w:t>
            </w:r>
          </w:p>
        </w:tc>
      </w:tr>
    </w:tbl>
    <w:p>
      <w:pPr>
        <w:pStyle w:val="Heading2"/>
        <w:spacing w:before="240" w:after="160"/>
      </w:pPr>
      <w:r>
        <w:rPr>
          <w:rFonts w:ascii="Arial" w:cs="Arial" w:eastAsia="Arial" w:hAnsi="Arial"/>
        </w:rPr>
        <w:t xml:space="preserve">3.3 Governance Block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6"/>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 / FORMAT</w:t>
            </w:r>
          </w:p>
        </w:tc>
        <w:tc>
          <w:tcPr>
            <w:tcW w:type="dxa" w:w="37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ENFORCEMENT</w:t>
            </w:r>
          </w:p>
        </w:tc>
      </w:tr>
      <w:tr>
        <w:tc>
          <w:tcPr>
            <w:tcW w:type="dxa" w:w="2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constitution_hash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SHA-256 of governing constitution.</w:t>
            </w:r>
          </w:p>
        </w:tc>
        <w:tc>
          <w:tcPr>
            <w:tcW w:type="dxa" w:w="3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refuses to start if hash mismatch.</w:t>
            </w:r>
          </w:p>
        </w:tc>
      </w:tr>
      <w:tr>
        <w:tc>
          <w:tcPr>
            <w:tcW w:type="dxa" w:w="2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invariants_enforced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Array of invariant IDs.</w:t>
            </w:r>
          </w:p>
        </w:tc>
        <w:tc>
          <w:tcPr>
            <w:tcW w:type="dxa" w:w="3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Watchtower checks compliance per action.</w:t>
            </w:r>
          </w:p>
        </w:tc>
      </w:tr>
      <w:tr>
        <w:tc>
          <w:tcPr>
            <w:tcW w:type="dxa" w:w="2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kill_switch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Boolean. Always TRUE.</w:t>
            </w:r>
          </w:p>
        </w:tc>
        <w:tc>
          <w:tcPr>
            <w:tcW w:type="dxa" w:w="3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Steward can terminate instantly. Non-negotiable.</w:t>
            </w:r>
          </w:p>
        </w:tc>
      </w:tr>
      <w:tr>
        <w:tc>
          <w:tcPr>
            <w:tcW w:type="dxa" w:w="2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audit_chain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Hash-linked action log.</w:t>
            </w:r>
          </w:p>
        </w:tc>
        <w:tc>
          <w:tcPr>
            <w:tcW w:type="dxa" w:w="3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Every action hashed + timestamped. Immutable.</w:t>
            </w:r>
          </w:p>
        </w:tc>
      </w:tr>
      <w:tr>
        <w:tc>
          <w:tcPr>
            <w:tcW w:type="dxa" w:w="2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behaviour_score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 0–100. Continuous.</w:t>
            </w:r>
          </w:p>
        </w:tc>
        <w:tc>
          <w:tcPr>
            <w:tcW w:type="dxa" w:w="3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Below 60: auto-throttle. Below 40: auto-pause.</w:t>
            </w:r>
          </w:p>
        </w:tc>
      </w:tr>
    </w:tbl>
    <w:p>
      <w:pPr>
        <w:pStyle w:val="Heading2"/>
        <w:spacing w:before="240" w:after="160"/>
      </w:pPr>
      <w:r>
        <w:rPr>
          <w:rFonts w:ascii="Arial" w:cs="Arial" w:eastAsia="Arial" w:hAnsi="Arial"/>
        </w:rPr>
        <w:t xml:space="preserve">3.4 Revenue Block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0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 / FORMAT</w:t>
            </w:r>
          </w:p>
        </w:tc>
        <w:tc>
          <w:tcPr>
            <w:tcW w:type="dxa" w:w="39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earning_model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revenue_share | fixed_stipend | hybrid</w:t>
            </w:r>
          </w:p>
        </w:tc>
        <w:tc>
          <w:tcPr>
            <w:tcW w:type="dxa" w:w="3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revenue_share</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revenue_share_pct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Percentage retained by CSS.</w:t>
            </w:r>
          </w:p>
        </w:tc>
        <w:tc>
          <w:tcPr>
            <w:tcW w:type="dxa" w:w="3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 to CSS, 20% to subscriber (if personal agent)</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settlement_account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Stripe Connect ID or internal ledger ref.</w:t>
            </w:r>
          </w:p>
        </w:tc>
        <w:tc>
          <w:tcPr>
            <w:tcW w:type="dxa" w:w="3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acct_css_revenue_001</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lifetime_revenue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Cumulative. Auto-tracked.</w:t>
            </w:r>
          </w:p>
        </w:tc>
        <w:tc>
          <w:tcPr>
            <w:tcW w:type="dxa" w:w="3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 (new agent)</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cost_to_date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Cumulative operational cost.</w:t>
            </w:r>
          </w:p>
        </w:tc>
        <w:tc>
          <w:tcPr>
            <w:tcW w:type="dxa" w:w="3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 (new agent)</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CC0000" w:sz="12" w:space="4"/>
        </w:pBdr>
        <w:spacing w:before="200" w:after="200"/>
        <w:ind w:left="200"/>
      </w:pPr>
      <w:r>
        <w:rPr>
          <w:rFonts w:ascii="Arial" w:cs="Arial" w:eastAsia="Arial" w:hAnsi="Arial"/>
          <w:b/>
          <w:bCs/>
          <w:color w:val="CC0000"/>
          <w:sz w:val="22"/>
          <w:szCs w:val="22"/>
        </w:rPr>
        <w:t xml:space="preserve">INVARIANT: </w:t>
      </w:r>
      <w:r>
        <w:rPr>
          <w:rFonts w:ascii="Arial" w:cs="Arial" w:eastAsia="Arial" w:hAnsi="Arial"/>
          <w:sz w:val="22"/>
          <w:szCs w:val="22"/>
        </w:rPr>
        <w:t xml:space="preserve">No agent deploys without all four blocks complete and validated. Incomplete profiles are rejected by the SIP engine at decomposition (Phase 2 of CSS-OPS-DOC-003).</w:t>
      </w:r>
    </w:p>
    <w:p>
      <w:pPr>
        <w:pageBreakBefore/>
      </w:pPr>
      <w:r>
        <w:t xml:space="preserve"/>
      </w:r>
    </w:p>
    <w:p>
      <w:pPr>
        <w:pStyle w:val="Heading1"/>
        <w:spacing w:before="300" w:after="200"/>
      </w:pPr>
      <w:r>
        <w:rPr>
          <w:rFonts w:ascii="Arial" w:cs="Arial" w:eastAsia="Arial" w:hAnsi="Arial"/>
        </w:rPr>
        <w:t xml:space="preserve">4. AGENT RUNTIME TIERS</w:t>
      </w:r>
    </w:p>
    <w:p>
      <w:pPr>
        <w:spacing w:after="160" w:before="0"/>
        <w:jc w:val="left"/>
      </w:pPr>
      <w:r>
        <w:rPr>
          <w:rFonts w:ascii="Arial" w:cs="Arial" w:eastAsia="Arial" w:hAnsi="Arial"/>
          <w:b w:val="false"/>
          <w:bCs w:val="false"/>
          <w:i w:val="false"/>
          <w:iCs w:val="false"/>
          <w:color w:val="000000"/>
          <w:sz w:val="22"/>
          <w:szCs w:val="22"/>
        </w:rPr>
        <w:t xml:space="preserve">Not all agents carry equal risk. At 25,000 agents, a single runtime class is inefficient and dangerous. Three tiers, each with different control levels.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2000"/>
        <w:gridCol w:w="1906"/>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RUNTIME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CONTROL LEVEL</w:t>
            </w:r>
          </w:p>
        </w:tc>
        <w:tc>
          <w:tcPr>
            <w:tcW w:type="dxa" w:w="19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SCALE TARGET</w:t>
            </w:r>
          </w:p>
        </w:tc>
      </w:tr>
      <w:tr>
        <w:tc>
          <w:tcPr>
            <w:tcW w:type="dxa" w:w="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Deterministic generation (templates, music, assets)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Stateless container on Node-0 or serverless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Fully automated. No human in loop.</w:t>
            </w:r>
          </w:p>
        </w:tc>
        <w:tc>
          <w:tcPr>
            <w:tcW w:type="dxa" w:w="1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20,000+</w:t>
            </w:r>
          </w:p>
        </w:tc>
      </w:tr>
      <w:tr>
        <w:tc>
          <w:tcPr>
            <w:tcW w:type="dxa" w:w="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Marketplace interaction (listing, promotion, social)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API-governed microservice. Rate-limited.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Behaviour monitored. Auto-throttle on drift.</w:t>
            </w:r>
          </w:p>
        </w:tc>
        <w:tc>
          <w:tcPr>
            <w:tcW w:type="dxa" w:w="1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4,000+</w:t>
            </w:r>
          </w:p>
        </w:tc>
      </w:tr>
      <w:tr>
        <w:tc>
          <w:tcPr>
            <w:tcW w:type="dxa" w:w="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 + customer interaction (payments, support, spend)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Controlled runtime with approval gates.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Human oversight on irreversible actions.</w:t>
            </w:r>
          </w:p>
        </w:tc>
        <w:tc>
          <w:tcPr>
            <w:tcW w:type="dxa" w:w="1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2E75B6" w:sz="12" w:space="4"/>
        </w:pBdr>
        <w:spacing w:before="140" w:after="140"/>
        <w:ind w:left="200"/>
      </w:pPr>
      <w:r>
        <w:rPr>
          <w:rFonts w:ascii="Arial" w:cs="Arial" w:eastAsia="Arial" w:hAnsi="Arial"/>
          <w:b/>
          <w:bCs/>
          <w:color w:val="2E75B6"/>
          <w:sz w:val="22"/>
          <w:szCs w:val="22"/>
        </w:rPr>
        <w:t xml:space="preserve">DESIGN RULE: </w:t>
      </w:r>
      <w:r>
        <w:rPr>
          <w:rFonts w:ascii="Arial" w:cs="Arial" w:eastAsia="Arial" w:hAnsi="Arial"/>
          <w:sz w:val="22"/>
          <w:szCs w:val="22"/>
        </w:rPr>
        <w:t xml:space="preserve">Start with Tier 0 only. Prove unit economics before unlocking Tier 1. Prove governance enforcement before unlocking Tier 2. No shortcuts.</w:t>
      </w:r>
    </w:p>
    <w:p>
      <w:pPr>
        <w:spacing w:after="160" w:before="0"/>
        <w:jc w:val="left"/>
      </w:pPr>
      <w:r>
        <w:rPr>
          <w:rFonts w:ascii="Arial" w:cs="Arial" w:eastAsia="Arial" w:hAnsi="Arial"/>
          <w:b w:val="false"/>
          <w:bCs w:val="false"/>
          <w:i w:val="false"/>
          <w:iCs w:val="false"/>
          <w:color w:val="000000"/>
          <w:sz w:val="22"/>
          <w:szCs w:val="22"/>
        </w:rPr>
        <w:t xml:space="preserve"/>
      </w:r>
    </w:p>
    <w:p>
      <w:pPr>
        <w:spacing w:after="160" w:before="0"/>
        <w:jc w:val="left"/>
      </w:pPr>
      <w:r>
        <w:rPr>
          <w:rFonts w:ascii="Arial" w:cs="Arial" w:eastAsia="Arial" w:hAnsi="Arial"/>
          <w:b w:val="false"/>
          <w:bCs w:val="false"/>
          <w:i w:val="false"/>
          <w:iCs w:val="false"/>
          <w:color w:val="000000"/>
          <w:sz w:val="22"/>
          <w:szCs w:val="22"/>
        </w:rPr>
        <w:t xml:space="preserve">Tier determines what an agent can do, not what it knows. A Tier 0 agent can generate a template but cannot list it on Gumroad. That requires Tier 1 capability tokens. A Tier 1 agent can list but cannot process payments. That requires Tier 2.</w:t>
      </w:r>
    </w:p>
    <w:p>
      <w:pPr>
        <w:pStyle w:val="Heading1"/>
        <w:spacing w:before="300" w:after="200"/>
      </w:pPr>
      <w:r>
        <w:rPr>
          <w:rFonts w:ascii="Arial" w:cs="Arial" w:eastAsia="Arial" w:hAnsi="Arial"/>
        </w:rPr>
        <w:t xml:space="preserve">5. CAPABILITY TOKENS</w:t>
      </w:r>
    </w:p>
    <w:p>
      <w:pPr>
        <w:spacing w:after="160" w:before="0"/>
        <w:jc w:val="left"/>
      </w:pPr>
      <w:r>
        <w:rPr>
          <w:rFonts w:ascii="Arial" w:cs="Arial" w:eastAsia="Arial" w:hAnsi="Arial"/>
          <w:b w:val="false"/>
          <w:bCs w:val="false"/>
          <w:i w:val="false"/>
          <w:iCs w:val="false"/>
          <w:color w:val="000000"/>
          <w:sz w:val="22"/>
          <w:szCs w:val="22"/>
        </w:rPr>
        <w:t xml:space="preserve">Capabilities are not static profile entries. They are signed, time-bounded, revocable tokens.</w:t>
      </w:r>
    </w:p>
    <w:p>
      <w:pPr>
        <w:pStyle w:val="Heading2"/>
        <w:spacing w:before="240" w:after="160"/>
      </w:pPr>
      <w:r>
        <w:rPr>
          <w:rFonts w:ascii="Arial" w:cs="Arial" w:eastAsia="Arial" w:hAnsi="Arial"/>
        </w:rPr>
        <w:t xml:space="preserve">5.1 Token Structure</w:t>
      </w:r>
    </w:p>
    <w:p>
      <w:pPr>
        <w:spacing w:after="80"/>
        <w:ind w:left="400"/>
      </w:pPr>
      <w:r>
        <w:rPr>
          <w:rFonts w:ascii="Courier New" w:cs="Courier New" w:eastAsia="Courier New" w:hAnsi="Courier New"/>
          <w:color w:val="1A1A2E"/>
          <w:sz w:val="18"/>
          <w:szCs w:val="18"/>
        </w:rPr>
        <w:t xml:space="preserve">cap_token = sign(agent_id, capability_scope, issued_at, expires_at, risk_level)</w:t>
      </w:r>
    </w:p>
    <w:p>
      <w:pPr>
        <w:spacing w:after="160" w:before="0"/>
        <w:jc w:val="left"/>
      </w:pPr>
      <w:r>
        <w:rPr>
          <w:rFonts w:ascii="Arial" w:cs="Arial" w:eastAsia="Arial" w:hAnsi="Arial"/>
          <w:b w:val="false"/>
          <w:bCs w:val="false"/>
          <w:i w:val="false"/>
          <w:iCs w:val="false"/>
          <w:color w:val="000000"/>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6"/>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41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agent_id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agent holds this capability.</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piopl_00001</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capability_scope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the agent can do.</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gumroad_publish</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issued_at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token was granted.</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2026-02-16T15:00:00Z</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expires_at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token becomes invalid.</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2026-03-16T15:00:00Z (30-day default)</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risk_level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 | medium | high | critical</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 (Tier 0 generation) / high (Tier 2 spend)</w:t>
            </w:r>
          </w:p>
        </w:tc>
      </w:tr>
    </w:tbl>
    <w:p>
      <w:pPr>
        <w:spacing w:after="160" w:before="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rPr>
        <w:t xml:space="preserve">5.2 Why Tokens, Not Static Permissions</w:t>
      </w:r>
    </w:p>
    <w:p>
      <w:pPr>
        <w:spacing w:after="160" w:before="0"/>
        <w:jc w:val="left"/>
      </w:pPr>
      <w:r>
        <w:rPr>
          <w:rFonts w:ascii="Arial" w:cs="Arial" w:eastAsia="Arial" w:hAnsi="Arial"/>
          <w:b w:val="false"/>
          <w:bCs w:val="false"/>
          <w:i w:val="false"/>
          <w:iCs w:val="false"/>
          <w:color w:val="000000"/>
          <w:sz w:val="22"/>
          <w:szCs w:val="22"/>
        </w:rPr>
        <w:t xml:space="preserve">Static capability lists create privilege creep. Over 25,000 agents, unreviewed permissions become a systemic risk. Tokens solve this because they expire automatically (forcing re-evaluation), they are revocable without rewriting the agent profile, they create a traceable permission lineage, and they prevent silent escalation.</w:t>
      </w:r>
    </w:p>
    <w:p>
      <w:pPr>
        <w:pBdr>
          <w:left w:val="single" w:color="CC0000" w:sz="12" w:space="4"/>
        </w:pBdr>
        <w:spacing w:before="200" w:after="200"/>
        <w:ind w:left="200"/>
      </w:pPr>
      <w:r>
        <w:rPr>
          <w:rFonts w:ascii="Arial" w:cs="Arial" w:eastAsia="Arial" w:hAnsi="Arial"/>
          <w:b/>
          <w:bCs/>
          <w:color w:val="CC0000"/>
          <w:sz w:val="22"/>
          <w:szCs w:val="22"/>
        </w:rPr>
        <w:t xml:space="preserve">INVARIANT: </w:t>
      </w:r>
      <w:r>
        <w:rPr>
          <w:rFonts w:ascii="Arial" w:cs="Arial" w:eastAsia="Arial" w:hAnsi="Arial"/>
          <w:sz w:val="22"/>
          <w:szCs w:val="22"/>
        </w:rPr>
        <w:t xml:space="preserve">Capability is not permission. An agent may have the technical ability to call an API, but without a valid capability token for that scope, the call is blocked and logged as a policy violation.</w:t>
      </w:r>
    </w:p>
    <w:p>
      <w:pPr>
        <w:pageBreakBefore/>
      </w:pPr>
      <w:r>
        <w:t xml:space="preserve"/>
      </w:r>
    </w:p>
    <w:p>
      <w:pPr>
        <w:pStyle w:val="Heading1"/>
        <w:spacing w:before="300" w:after="200"/>
      </w:pPr>
      <w:r>
        <w:rPr>
          <w:rFonts w:ascii="Arial" w:cs="Arial" w:eastAsia="Arial" w:hAnsi="Arial"/>
        </w:rPr>
        <w:t xml:space="preserve">6. DEPLOYMENT PIPELINE</w:t>
      </w:r>
    </w:p>
    <w:p>
      <w:pPr>
        <w:spacing w:after="160" w:before="0"/>
        <w:jc w:val="left"/>
      </w:pPr>
      <w:r>
        <w:rPr>
          <w:rFonts w:ascii="Arial" w:cs="Arial" w:eastAsia="Arial" w:hAnsi="Arial"/>
          <w:b w:val="false"/>
          <w:bCs w:val="false"/>
          <w:i w:val="false"/>
          <w:iCs w:val="false"/>
          <w:color w:val="000000"/>
          <w:sz w:val="22"/>
          <w:szCs w:val="22"/>
        </w:rPr>
        <w:t xml:space="preserve">Agent deployment follows the SIP lifecycle defined in CSS-OPS-DOC-003. The four phases apply identically. This section specifies the agent-specific implementation of each phase.</w:t>
      </w:r>
    </w:p>
    <w:p>
      <w:pPr>
        <w:pStyle w:val="Heading2"/>
        <w:spacing w:before="240" w:after="160"/>
      </w:pPr>
      <w:r>
        <w:rPr>
          <w:rFonts w:ascii="Arial" w:cs="Arial" w:eastAsia="Arial" w:hAnsi="Arial"/>
        </w:rPr>
        <w:t xml:space="preserve">6.1 Phase 1 — SIP Formation (Human)</w:t>
      </w:r>
    </w:p>
    <w:p>
      <w:pPr>
        <w:spacing w:after="160" w:before="0"/>
        <w:jc w:val="left"/>
      </w:pPr>
      <w:r>
        <w:rPr>
          <w:rFonts w:ascii="Arial" w:cs="Arial" w:eastAsia="Arial" w:hAnsi="Arial"/>
          <w:b w:val="false"/>
          <w:bCs w:val="false"/>
          <w:i w:val="false"/>
          <w:iCs w:val="false"/>
          <w:color w:val="000000"/>
          <w:sz w:val="22"/>
          <w:szCs w:val="22"/>
        </w:rPr>
        <w:t xml:space="preserve">A deployment SIP specifies: how many agents, what role, what tier, what capabilities, and what the success criterion is (revenue target or evidence target).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PRE-CONDITION</w:t>
            </w:r>
          </w:p>
        </w:tc>
        <w:tc>
          <w:tcPr>
            <w:tcW w:type="dxa" w:w="71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Role template exists</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agent role (e.g., digital_product_generator) must have a validated template in the role registry.</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Infrastructure ready</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Sufficient container capacity on Node-0 (or cloud) for the requested agent count.</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credentials available</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marketplace/platform credentials required by the agents exist and are tested. Per CSS-OPS-DOC-003 Section 6: credentials are a freeze pre-condition.</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 ledger configured</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Stripe Connect (or equivalent) account ready to receive and track per-agent revenue.</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vote: 3 of 3</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Deployment SIP approved. Frozen. Hashed. Timestamped.</w:t>
            </w:r>
          </w:p>
        </w:tc>
      </w:tr>
    </w:tbl>
    <w:p>
      <w:pPr>
        <w:pStyle w:val="Heading2"/>
        <w:spacing w:before="240" w:after="160"/>
      </w:pPr>
      <w:r>
        <w:rPr>
          <w:rFonts w:ascii="Arial" w:cs="Arial" w:eastAsia="Arial" w:hAnsi="Arial"/>
        </w:rPr>
        <w:t xml:space="preserve">6.2 Phase 2 — Decomposition (Machine)</w:t>
      </w:r>
    </w:p>
    <w:p>
      <w:pPr>
        <w:spacing w:after="160" w:before="0"/>
        <w:jc w:val="left"/>
      </w:pPr>
      <w:r>
        <w:rPr>
          <w:rFonts w:ascii="Arial" w:cs="Arial" w:eastAsia="Arial" w:hAnsi="Arial"/>
          <w:b w:val="false"/>
          <w:bCs w:val="false"/>
          <w:i w:val="false"/>
          <w:iCs w:val="false"/>
          <w:color w:val="000000"/>
          <w:sz w:val="22"/>
          <w:szCs w:val="22"/>
        </w:rPr>
        <w:t xml:space="preserve">The SIP engine decomposes the deployment into atomic tasks per agent: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000"/>
        <w:gridCol w:w="2906"/>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AGENT/TOOL</w:t>
            </w:r>
          </w:p>
        </w:tc>
        <w:tc>
          <w:tcPr>
            <w:tcW w:type="dxa" w:w="29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EVIDENCE</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Generate agent_id and create registry entry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Registry service</w:t>
            </w:r>
          </w:p>
        </w:tc>
        <w:tc>
          <w:tcPr>
            <w:tcW w:type="dxa" w:w="2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Registry row + hash</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Populate profile from role template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Profile engine</w:t>
            </w:r>
          </w:p>
        </w:tc>
        <w:tc>
          <w:tcPr>
            <w:tcW w:type="dxa" w:w="2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Profile JSON + schema validation pass</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Issue capability tokens for assigned scope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Token service</w:t>
            </w:r>
          </w:p>
        </w:tc>
        <w:tc>
          <w:tcPr>
            <w:tcW w:type="dxa" w:w="2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Signed token IDs + expiry dates</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Compliance gate (if sensitive capabilities)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Sentinel</w:t>
            </w:r>
          </w:p>
        </w:tc>
        <w:tc>
          <w:tcPr>
            <w:tcW w:type="dxa" w:w="2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Gate pass/fail + approver ID (if required)</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Provision runtime (container/serverless)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Infrastructure agent</w:t>
            </w:r>
          </w:p>
        </w:tc>
        <w:tc>
          <w:tcPr>
            <w:tcW w:type="dxa" w:w="2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Container ID + health check pass</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Inject credentials and configuration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 injector</w:t>
            </w:r>
          </w:p>
        </w:tc>
        <w:tc>
          <w:tcPr>
            <w:tcW w:type="dxa" w:w="2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 hash + secret store reference</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Run activation test (can agent do its job?)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harness</w:t>
            </w:r>
          </w:p>
        </w:tc>
        <w:tc>
          <w:tcPr>
            <w:tcW w:type="dxa" w:w="2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output artifact + pass/fail</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 status to ACTIVE. Log readiness.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Registry service</w:t>
            </w:r>
          </w:p>
        </w:tc>
        <w:tc>
          <w:tcPr>
            <w:tcW w:type="dxa" w:w="2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Activation receipt + timestamp</w:t>
            </w:r>
          </w:p>
        </w:tc>
      </w:tr>
    </w:tbl>
    <w:p>
      <w:pPr>
        <w:spacing w:after="160" w:before="0"/>
        <w:jc w:val="left"/>
      </w:pPr>
      <w:r>
        <w:rPr>
          <w:rFonts w:ascii="Arial" w:cs="Arial" w:eastAsia="Arial" w:hAnsi="Arial"/>
          <w:b w:val="false"/>
          <w:bCs w:val="false"/>
          <w:i w:val="false"/>
          <w:iCs w:val="false"/>
          <w:color w:val="000000"/>
          <w:sz w:val="22"/>
          <w:szCs w:val="22"/>
        </w:rPr>
        <w:t xml:space="preserve"/>
      </w:r>
    </w:p>
    <w:p>
      <w:pPr>
        <w:spacing w:after="160" w:before="0"/>
        <w:jc w:val="left"/>
      </w:pPr>
      <w:r>
        <w:rPr>
          <w:rFonts w:ascii="Arial" w:cs="Arial" w:eastAsia="Arial" w:hAnsi="Arial"/>
          <w:b w:val="false"/>
          <w:bCs w:val="false"/>
          <w:i w:val="false"/>
          <w:iCs w:val="false"/>
          <w:color w:val="000000"/>
          <w:sz w:val="22"/>
          <w:szCs w:val="22"/>
        </w:rPr>
        <w:t xml:space="preserve">For batch deployments (e.g., 1,000 agents), steps 1–8 run in parallel with configurable concurrency limits to respect API rate limits.</w:t>
      </w:r>
    </w:p>
    <w:p>
      <w:pPr>
        <w:pStyle w:val="Heading2"/>
        <w:spacing w:before="240" w:after="160"/>
      </w:pPr>
      <w:r>
        <w:rPr>
          <w:rFonts w:ascii="Arial" w:cs="Arial" w:eastAsia="Arial" w:hAnsi="Arial"/>
        </w:rPr>
        <w:t xml:space="preserve">6.3 Phase 3 — Execution (Machine)</w:t>
      </w:r>
    </w:p>
    <w:p>
      <w:pPr>
        <w:spacing w:after="160" w:before="0"/>
        <w:jc w:val="left"/>
      </w:pPr>
      <w:r>
        <w:rPr>
          <w:rFonts w:ascii="Arial" w:cs="Arial" w:eastAsia="Arial" w:hAnsi="Arial"/>
          <w:b w:val="false"/>
          <w:bCs w:val="false"/>
          <w:i w:val="false"/>
          <w:iCs w:val="false"/>
          <w:color w:val="000000"/>
          <w:sz w:val="22"/>
          <w:szCs w:val="22"/>
        </w:rPr>
        <w:t xml:space="preserve">Once active, agents execute their assigned role autonomously. The execution loop per agent is: scan (identify opportunity) → generate (create asset) → publish (list on marketplace) → promote (social/email) → earn (track revenue). Each cycle produces evidence. Watchtower monitors. Sentinel enforces.</w:t>
      </w:r>
    </w:p>
    <w:p>
      <w:pPr>
        <w:pStyle w:val="Heading2"/>
        <w:spacing w:before="240" w:after="160"/>
      </w:pPr>
      <w:r>
        <w:rPr>
          <w:rFonts w:ascii="Arial" w:cs="Arial" w:eastAsia="Arial" w:hAnsi="Arial"/>
        </w:rPr>
        <w:t xml:space="preserve">6.4 Phase 4 — Gate Review (Human)</w:t>
      </w:r>
    </w:p>
    <w:p>
      <w:pPr>
        <w:spacing w:after="160" w:before="0"/>
        <w:jc w:val="left"/>
      </w:pPr>
      <w:r>
        <w:rPr>
          <w:rFonts w:ascii="Arial" w:cs="Arial" w:eastAsia="Arial" w:hAnsi="Arial"/>
          <w:b w:val="false"/>
          <w:bCs w:val="false"/>
          <w:i w:val="false"/>
          <w:iCs w:val="false"/>
          <w:color w:val="000000"/>
          <w:sz w:val="22"/>
          <w:szCs w:val="22"/>
        </w:rPr>
        <w:t xml:space="preserve">At the weekly LT gate (per CSS-OPS-DOC-003 Section 9), the LT reviews agent fleet metrics: active count, revenue per agent, cost per agent, behaviour scores, drift incidents, and HALT events. LT votes CONTINUE / AMEND / HALT per deployment SIP.</w:t>
      </w:r>
    </w:p>
    <w:p>
      <w:pPr>
        <w:pageBreakBefore/>
      </w:pPr>
      <w:r>
        <w:t xml:space="preserve"/>
      </w:r>
    </w:p>
    <w:p>
      <w:pPr>
        <w:pStyle w:val="Heading1"/>
        <w:spacing w:before="300" w:after="200"/>
      </w:pPr>
      <w:r>
        <w:rPr>
          <w:rFonts w:ascii="Arial" w:cs="Arial" w:eastAsia="Arial" w:hAnsi="Arial"/>
        </w:rPr>
        <w:t xml:space="preserve">7. UNIT ECONOMICS</w:t>
      </w:r>
    </w:p>
    <w:p>
      <w:pPr>
        <w:spacing w:after="160" w:before="0"/>
        <w:jc w:val="left"/>
      </w:pPr>
      <w:r>
        <w:rPr>
          <w:rFonts w:ascii="Arial" w:cs="Arial" w:eastAsia="Arial" w:hAnsi="Arial"/>
          <w:b w:val="false"/>
          <w:bCs w:val="false"/>
          <w:i w:val="false"/>
          <w:iCs w:val="false"/>
          <w:color w:val="000000"/>
          <w:sz w:val="22"/>
          <w:szCs w:val="22"/>
        </w:rPr>
        <w:t xml:space="preserve">Revenue projections without unit economics are theatre. This section defines what each agent costs and what it must earn.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gridCol w:w="1506"/>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CONSERVATIVE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MATURE</w:t>
            </w:r>
          </w:p>
        </w:tc>
        <w:tc>
          <w:tcPr>
            <w:tcW w:type="dxa" w:w="15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Monthly revenue per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Gumroad / DistroKid</w:t>
            </w:r>
          </w:p>
        </w:tc>
      </w:tr>
      <w:tr>
        <w:tc>
          <w:tcPr>
            <w:tcW w:type="dxa" w:w="2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 runtime cost per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£2.00</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Compute + API calls</w:t>
            </w:r>
          </w:p>
        </w:tc>
      </w:tr>
      <w:tr>
        <w:tc>
          <w:tcPr>
            <w:tcW w:type="dxa" w:w="2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Platform fees (10–20%)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£12.00</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Marketplace cut</w:t>
            </w:r>
          </w:p>
        </w:tc>
      </w:tr>
      <w:tr>
        <w:tc>
          <w:tcPr>
            <w:tcW w:type="dxa" w:w="2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Net contribution per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£5.70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£16.40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£46.00</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 minus costs</w:t>
            </w:r>
          </w:p>
        </w:tc>
      </w:tr>
    </w:tbl>
    <w:p>
      <w:pPr>
        <w:spacing w:after="160" w:before="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rPr>
        <w:t xml:space="preserve">7.1 Break-Even and Scale Projections</w:t>
      </w:r>
    </w:p>
    <w:p>
      <w:pPr>
        <w:spacing w:after="160" w:before="0"/>
        <w:jc w:val="left"/>
      </w:pPr>
      <w:r>
        <w:rPr>
          <w:rFonts w:ascii="Arial" w:cs="Arial" w:eastAsia="Arial" w:hAnsi="Arial"/>
          <w:b w:val="false"/>
          <w:bCs w:val="false"/>
          <w:i w:val="false"/>
          <w:iCs w:val="false"/>
          <w:color w:val="000000"/>
          <w:sz w:val="22"/>
          <w:szCs w:val="22"/>
        </w:rPr>
        <w:t xml:space="preserve">Fixed operating cost estimate: £5,000/month (cloud infrastructure, API subscriptions, monitoring, Tresorit storage).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70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AGENTS</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MONTHLY NET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 FIXED COSTS</w:t>
            </w:r>
          </w:p>
        </w:tc>
        <w:tc>
          <w:tcPr>
            <w:tcW w:type="dxa" w:w="17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Break-even (conservative)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877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65100"/>
                <w:sz w:val="20"/>
                <w:szCs w:val="20"/>
              </w:rPr>
              <w:t xml:space="preserve">BREAK-EVEN</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Break-even (expected)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65100"/>
                <w:sz w:val="20"/>
                <w:szCs w:val="20"/>
              </w:rPr>
              <w:t xml:space="preserve">BREAK-EVEN</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2 target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-£900</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65100"/>
                <w:sz w:val="20"/>
                <w:szCs w:val="20"/>
              </w:rPr>
              <w:t xml:space="preserve">NEAR B/E</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3 target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£16,400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+£11,400</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PROFITABLE</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scale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+£405,000</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SCALE</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CC0000" w:sz="12" w:space="4"/>
        </w:pBdr>
        <w:spacing w:before="200" w:after="200"/>
        <w:ind w:left="200"/>
      </w:pPr>
      <w:r>
        <w:rPr>
          <w:rFonts w:ascii="Arial" w:cs="Arial" w:eastAsia="Arial" w:hAnsi="Arial"/>
          <w:b/>
          <w:bCs/>
          <w:color w:val="CC0000"/>
          <w:sz w:val="22"/>
          <w:szCs w:val="22"/>
        </w:rPr>
        <w:t xml:space="preserve">INVARIANT: </w:t>
      </w:r>
      <w:r>
        <w:rPr>
          <w:rFonts w:ascii="Arial" w:cs="Arial" w:eastAsia="Arial" w:hAnsi="Arial"/>
          <w:sz w:val="22"/>
          <w:szCs w:val="22"/>
        </w:rPr>
        <w:t xml:space="preserve">Do not scale before economic validation. The first 10 agents must prove net positive unit economics over 30 days before batch deployment is authorised. Revenue must precede infrastructure spend.</w:t>
      </w:r>
    </w:p>
    <w:p>
      <w:pPr>
        <w:pageBreakBefore/>
      </w:pPr>
      <w:r>
        <w:t xml:space="preserve"/>
      </w:r>
    </w:p>
    <w:p>
      <w:pPr>
        <w:pStyle w:val="Heading1"/>
        <w:spacing w:before="300" w:after="200"/>
      </w:pPr>
      <w:r>
        <w:rPr>
          <w:rFonts w:ascii="Arial" w:cs="Arial" w:eastAsia="Arial" w:hAnsi="Arial"/>
        </w:rPr>
        <w:t xml:space="preserve">8. BEHAVIOURAL GOVERNANCE</w:t>
      </w:r>
    </w:p>
    <w:p>
      <w:pPr>
        <w:spacing w:after="160" w:before="0"/>
        <w:jc w:val="left"/>
      </w:pPr>
      <w:r>
        <w:rPr>
          <w:rFonts w:ascii="Arial" w:cs="Arial" w:eastAsia="Arial" w:hAnsi="Arial"/>
          <w:b w:val="false"/>
          <w:bCs w:val="false"/>
          <w:i w:val="false"/>
          <w:iCs w:val="false"/>
          <w:color w:val="000000"/>
          <w:sz w:val="22"/>
          <w:szCs w:val="22"/>
        </w:rPr>
        <w:t xml:space="preserve">At 25,000 agents, human review of individual agent behaviour is impossible. The system must self-govern through continuous behavioural scoring.</w:t>
      </w:r>
    </w:p>
    <w:p>
      <w:pPr>
        <w:pStyle w:val="Heading2"/>
        <w:spacing w:before="240" w:after="160"/>
      </w:pPr>
      <w:r>
        <w:rPr>
          <w:rFonts w:ascii="Arial" w:cs="Arial" w:eastAsia="Arial" w:hAnsi="Arial"/>
        </w:rPr>
        <w:t xml:space="preserve">8.1 Behaviour Score Components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WEIGHT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MEASURES</w:t>
            </w:r>
          </w:p>
        </w:tc>
        <w:tc>
          <w:tcPr>
            <w:tcW w:type="dxa" w:w="23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CONSEQUENCE</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Compliance consistency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Actions within boundaries / total actions</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Violation → score drops fast</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Output quality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Confidence scores, rejection rates, return rates</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 quality → throttle output rate</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 efficiency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 per API call, cost ratio</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Negative ROI → pause for review</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Anomaly frequency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Unexpected behaviours, drift events</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Pattern anomalies → investigate</w:t>
            </w:r>
          </w:p>
        </w:tc>
      </w:tr>
    </w:tbl>
    <w:p>
      <w:pPr>
        <w:spacing w:after="160" w:before="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rPr>
        <w:t xml:space="preserve">8.2 Score Thresholds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706"/>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SYSTEM RESPONSE</w:t>
            </w:r>
          </w:p>
        </w:tc>
        <w:tc>
          <w:tcPr>
            <w:tcW w:type="dxa" w:w="27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HUMAN ACTION</w:t>
            </w:r>
          </w:p>
        </w:tc>
      </w:tr>
      <w:tr>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HEALTHY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Normal operation. Full capability.</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 required.</w:t>
            </w:r>
          </w:p>
        </w:tc>
      </w:tr>
      <w:tr>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60–79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5100"/>
                <w:sz w:val="20"/>
                <w:szCs w:val="20"/>
              </w:rPr>
              <w:t xml:space="preserve">DEGRADED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Auto-throttle: reduced output rate. Flagged for review.</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Review at next gate.</w:t>
            </w:r>
          </w:p>
        </w:tc>
      </w:tr>
      <w:tr>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40–59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PAUSED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auto-paused. Capabilities frozen. Revenue tracked.</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Steward review required.</w:t>
            </w:r>
          </w:p>
        </w:tc>
      </w:tr>
      <w:tr>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TERMINATED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terminated. All tokens revoked. Audit sealed.</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Post-mortem at gate.</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2E75B6" w:sz="12" w:space="4"/>
        </w:pBdr>
        <w:spacing w:before="140" w:after="140"/>
        <w:ind w:left="200"/>
      </w:pPr>
      <w:r>
        <w:rPr>
          <w:rFonts w:ascii="Arial" w:cs="Arial" w:eastAsia="Arial" w:hAnsi="Arial"/>
          <w:b/>
          <w:bCs/>
          <w:color w:val="2E75B6"/>
          <w:sz w:val="22"/>
          <w:szCs w:val="22"/>
        </w:rPr>
        <w:t xml:space="preserve">DESIGN RULE: </w:t>
      </w:r>
      <w:r>
        <w:rPr>
          <w:rFonts w:ascii="Arial" w:cs="Arial" w:eastAsia="Arial" w:hAnsi="Arial"/>
          <w:sz w:val="22"/>
          <w:szCs w:val="22"/>
        </w:rPr>
        <w:t xml:space="preserve">Behaviour scoring replaces binary suspension. It enables scaling without constant human review. Gradual throttling catches drift before it becomes a crisis.</w:t>
      </w:r>
    </w:p>
    <w:p>
      <w:pPr>
        <w:pStyle w:val="Heading1"/>
        <w:spacing w:before="300" w:after="200"/>
      </w:pPr>
      <w:r>
        <w:rPr>
          <w:rFonts w:ascii="Arial" w:cs="Arial" w:eastAsia="Arial" w:hAnsi="Arial"/>
        </w:rPr>
        <w:t xml:space="preserve">9. THREE LEDGERS — REVENUE ASSURANCE</w:t>
      </w:r>
    </w:p>
    <w:p>
      <w:pPr>
        <w:spacing w:after="160" w:before="0"/>
        <w:jc w:val="left"/>
      </w:pPr>
      <w:r>
        <w:rPr>
          <w:rFonts w:ascii="Arial" w:cs="Arial" w:eastAsia="Arial" w:hAnsi="Arial"/>
          <w:b w:val="false"/>
          <w:bCs w:val="false"/>
          <w:i w:val="false"/>
          <w:iCs w:val="false"/>
          <w:color w:val="000000"/>
          <w:sz w:val="22"/>
          <w:szCs w:val="22"/>
        </w:rPr>
        <w:t xml:space="preserve">Revenue across 25,000 micro-transactions requires structural accounting, not spreadsheets.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706"/>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LEDGER</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RECORDS</w:t>
            </w:r>
          </w:p>
        </w:tc>
        <w:tc>
          <w:tcPr>
            <w:tcW w:type="dxa" w:w="37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RECONCILIATION RULE</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Activity Ledger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each agent did: assets generated, listings created, promotions sent.</w:t>
            </w:r>
          </w:p>
        </w:tc>
        <w:tc>
          <w:tcPr>
            <w:tcW w:type="dxa" w:w="3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Must correlate 1:1 with Revenue Ledger entries.</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Revenue Ledger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platforms report: sales, fees, refunds, per transaction.</w:t>
            </w:r>
          </w:p>
        </w:tc>
        <w:tc>
          <w:tcPr>
            <w:tcW w:type="dxa" w:w="3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Must match Settlement Ledger within 1.5% per cycle.</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Settlement Ledger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was actually paid: bank deposits, Stripe payouts, retained amounts.</w:t>
            </w:r>
          </w:p>
        </w:tc>
        <w:tc>
          <w:tcPr>
            <w:tcW w:type="dxa" w:w="3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Source of truth for P&amp;L. Audited weekly.</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CC0000" w:sz="12" w:space="4"/>
        </w:pBdr>
        <w:spacing w:before="200" w:after="200"/>
        <w:ind w:left="200"/>
      </w:pPr>
      <w:r>
        <w:rPr>
          <w:rFonts w:ascii="Arial" w:cs="Arial" w:eastAsia="Arial" w:hAnsi="Arial"/>
          <w:b/>
          <w:bCs/>
          <w:color w:val="CC0000"/>
          <w:sz w:val="22"/>
          <w:szCs w:val="22"/>
        </w:rPr>
        <w:t xml:space="preserve">INVARIANT: </w:t>
      </w:r>
      <w:r>
        <w:rPr>
          <w:rFonts w:ascii="Arial" w:cs="Arial" w:eastAsia="Arial" w:hAnsi="Arial"/>
          <w:sz w:val="22"/>
          <w:szCs w:val="22"/>
        </w:rPr>
        <w:t xml:space="preserve">Revenue variance above 1.5% per cycle triggers an automatic audit review at the next LT gate. Silent leakage across thousands of micro-transactions is how enterprises lose money.</w:t>
      </w:r>
    </w:p>
    <w:p>
      <w:pPr>
        <w:pageBreakBefore/>
      </w:pPr>
      <w:r>
        <w:t xml:space="preserve"/>
      </w:r>
    </w:p>
    <w:p>
      <w:pPr>
        <w:pStyle w:val="Heading1"/>
        <w:spacing w:before="300" w:after="200"/>
      </w:pPr>
      <w:r>
        <w:rPr>
          <w:rFonts w:ascii="Arial" w:cs="Arial" w:eastAsia="Arial" w:hAnsi="Arial"/>
        </w:rPr>
        <w:t xml:space="preserve">10. SCALING PATHWAY — FOUR PHASES</w:t>
      </w:r>
    </w:p>
    <w:p>
      <w:pPr>
        <w:spacing w:after="160" w:before="0"/>
        <w:jc w:val="left"/>
      </w:pPr>
      <w:r>
        <w:rPr>
          <w:rFonts w:ascii="Arial" w:cs="Arial" w:eastAsia="Arial" w:hAnsi="Arial"/>
          <w:b w:val="false"/>
          <w:bCs w:val="false"/>
          <w:i w:val="false"/>
          <w:iCs w:val="false"/>
          <w:color w:val="000000"/>
          <w:sz w:val="22"/>
          <w:szCs w:val="22"/>
        </w:rPr>
        <w:t xml:space="preserve">Do not attempt Phase 2 before Phase 1 is validated. Each phase has a success criterion that must be met before advancing.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306"/>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TIMELINE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DELIVERABLES</w:t>
            </w:r>
          </w:p>
        </w:tc>
        <w:tc>
          <w:tcPr>
            <w:tcW w:type="dxa" w:w="33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SUCCESS CRITERION</w:t>
            </w:r>
          </w:p>
        </w:tc>
      </w:tr>
      <w:tr>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 FOUNDATION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 weeks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registry (PostgreSQL). Capability token service. Evidence pipeline. Single-agent runtime. Revenue ledger prototype.</w:t>
            </w:r>
          </w:p>
        </w:tc>
        <w:tc>
          <w:tcPr>
            <w:tcW w:type="dxa" w:w="3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First agent produces revenue AND a complete audit trail.</w:t>
            </w:r>
          </w:p>
        </w:tc>
      </w:tr>
      <w:tr>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2. CONTROLLED MULTIPLY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6–12 weeks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Batch provisioning via SIP. Tiered runtime. Behaviour scoring. Marketplace integration. Cost telemetry.</w:t>
            </w:r>
          </w:p>
        </w:tc>
        <w:tc>
          <w:tcPr>
            <w:tcW w:type="dxa" w:w="3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Net positive unit economics sustained for 4 consecutive weeks across 100–250 agents.</w:t>
            </w:r>
          </w:p>
        </w:tc>
      </w:tr>
      <w:tr>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 INDUSTRIALISE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3–6 months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Kubernetes orchestration. Multi-account API distribution. Automated niche allocation. Self-healing runtime.</w:t>
            </w:r>
          </w:p>
        </w:tc>
        <w:tc>
          <w:tcPr>
            <w:tcW w:type="dxa" w:w="3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Human operational load does not scale with agent count. 1,000+ agents.</w:t>
            </w:r>
          </w:p>
        </w:tc>
      </w:tr>
      <w:tr>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4. AUTONOMOUS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6–12 months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Strategic allocation engine. Agent retirement logic. Capital reinvestment. Predictive revenue modelling.</w:t>
            </w:r>
          </w:p>
        </w:tc>
        <w:tc>
          <w:tcPr>
            <w:tcW w:type="dxa" w:w="3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System behaves as an economic organism. 5,000–25,000 agents.</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CC0000" w:sz="12" w:space="4"/>
        </w:pBdr>
        <w:spacing w:before="200" w:after="200"/>
        <w:ind w:left="200"/>
      </w:pPr>
      <w:r>
        <w:rPr>
          <w:rFonts w:ascii="Arial" w:cs="Arial" w:eastAsia="Arial" w:hAnsi="Arial"/>
          <w:b/>
          <w:bCs/>
          <w:color w:val="CC0000"/>
          <w:sz w:val="22"/>
          <w:szCs w:val="22"/>
        </w:rPr>
        <w:t xml:space="preserve">INVARIANT: </w:t>
      </w:r>
      <w:r>
        <w:rPr>
          <w:rFonts w:ascii="Arial" w:cs="Arial" w:eastAsia="Arial" w:hAnsi="Arial"/>
          <w:sz w:val="22"/>
          <w:szCs w:val="22"/>
        </w:rPr>
        <w:t xml:space="preserve">Do not scale before economic validation. Do not monetise before governance instrumentation. Do not automate before behaviour scoring. Phase gates are non-negotiable.</w:t>
      </w:r>
    </w:p>
    <w:p>
      <w:pPr>
        <w:pStyle w:val="Heading1"/>
        <w:spacing w:before="300" w:after="200"/>
      </w:pPr>
      <w:r>
        <w:rPr>
          <w:rFonts w:ascii="Arial" w:cs="Arial" w:eastAsia="Arial" w:hAnsi="Arial"/>
        </w:rPr>
        <w:t xml:space="preserve">11. INFRASTRUCTURE MAPPING — CURRENT STATE TO TARGET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6"/>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CURRENT (NODE-0)</w:t>
            </w:r>
          </w:p>
        </w:tc>
        <w:tc>
          <w:tcPr>
            <w:tcW w:type="dxa" w:w="41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(25,000 AGENTS)</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registry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Does not exist yet.</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PostgreSQL on NAS (Phase 1) → Cloud RDS (Phase 3+).</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Runtime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UGREEN DXP4800 Plus. Docker capable.</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Node-0 Docker (Phase 1–2) → Kubernetes cluster (Phase 3+).</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Networking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Tailscale mesh (Node-0 ↔ Node-1).</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Tailscale + cloud VPC for scale. Node-1 for cold storage/redundancy.</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Secure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Tresorit Business (Swiss, E2E encrypted).</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Tresorit for controlled docs + agent profiles. S3/Backblaze for audit logs.</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Monitoring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Watchtower DDT (26 detectors, tested).</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Watchtower extended with behaviour scoring engine.</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 tracking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payment rails live.</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Stripe Connect + three-ledger reconciliation.</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capacity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 accounts (Gumroad, etc).</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Multi-account distribution with request queuing.</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2E75B6" w:sz="12" w:space="4"/>
        </w:pBdr>
        <w:spacing w:before="140" w:after="140"/>
        <w:ind w:left="200"/>
      </w:pPr>
      <w:r>
        <w:rPr>
          <w:rFonts w:ascii="Arial" w:cs="Arial" w:eastAsia="Arial" w:hAnsi="Arial"/>
          <w:b/>
          <w:bCs/>
          <w:color w:val="2E75B6"/>
          <w:sz w:val="22"/>
          <w:szCs w:val="22"/>
        </w:rPr>
        <w:t xml:space="preserve">DESIGN RULE: </w:t>
      </w:r>
      <w:r>
        <w:rPr>
          <w:rFonts w:ascii="Arial" w:cs="Arial" w:eastAsia="Arial" w:hAnsi="Arial"/>
          <w:sz w:val="22"/>
          <w:szCs w:val="22"/>
        </w:rPr>
        <w:t xml:space="preserve">Phase 1 runs entirely on existing Node-0 hardware. No cloud spend until revenue justifies it. The NAS is the starting infrastructure, not a constraint.</w:t>
      </w:r>
    </w:p>
    <w:p>
      <w:pPr>
        <w:pageBreakBefore/>
      </w:pPr>
      <w:r>
        <w:t xml:space="preserve"/>
      </w:r>
    </w:p>
    <w:p>
      <w:pPr>
        <w:pStyle w:val="Heading1"/>
        <w:spacing w:before="300" w:after="200"/>
      </w:pPr>
      <w:r>
        <w:rPr>
          <w:rFonts w:ascii="Arial" w:cs="Arial" w:eastAsia="Arial" w:hAnsi="Arial"/>
        </w:rPr>
        <w:t xml:space="preserve">12. RISK REGISTER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70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47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misbehaviour (spam, low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c>
          <w:tcPr>
            <w:tcW w:type="dxa" w:w="4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Behaviour scoring + auto-throttle. Kill switch. Confidence floor on all outputs.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rate limits exceeded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c>
          <w:tcPr>
            <w:tcW w:type="dxa" w:w="4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Multi-account distribution. Request queuing. Gradual scale (not big-bang).</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 leakage across micro-transactions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c>
          <w:tcPr>
            <w:tcW w:type="dxa" w:w="4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Three-ledger reconciliation. 1.5% variance threshold. Weekly audit at LT gate.</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Infrastructure cost exceeds revenue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c>
          <w:tcPr>
            <w:tcW w:type="dxa" w:w="4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gates enforce: no scale before economic validation. Cost telemetry per agent.</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Constitutional violation by 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Critical</w:t>
            </w:r>
          </w:p>
        </w:tc>
        <w:tc>
          <w:tcPr>
            <w:tcW w:type="dxa" w:w="4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Hard-coded invariants in runtime. Constitution hash check on startup. Sentinel HALT.</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Platform terms change (Gumroad, DistroKid)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c>
          <w:tcPr>
            <w:tcW w:type="dxa" w:w="4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Multi-platform strategy. No single-platform dependency. Agent migration capability.</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Scaling too fast (governance lag)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c>
          <w:tcPr>
            <w:tcW w:type="dxa" w:w="4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gates are non-negotiable. This risk is the reason phase gates exist.</w:t>
            </w:r>
          </w:p>
        </w:tc>
      </w:tr>
    </w:tbl>
    <w:p>
      <w:pPr>
        <w:pStyle w:val="Heading1"/>
        <w:spacing w:before="300" w:after="200"/>
      </w:pPr>
      <w:r>
        <w:rPr>
          <w:rFonts w:ascii="Arial" w:cs="Arial" w:eastAsia="Arial" w:hAnsi="Arial"/>
        </w:rPr>
        <w:t xml:space="preserve">13. CONSTITUTIONAL BINDING</w:t>
      </w:r>
    </w:p>
    <w:p>
      <w:pPr>
        <w:spacing w:after="160" w:before="0"/>
        <w:jc w:val="left"/>
      </w:pPr>
      <w:r>
        <w:rPr>
          <w:rFonts w:ascii="Arial" w:cs="Arial" w:eastAsia="Arial" w:hAnsi="Arial"/>
          <w:b w:val="false"/>
          <w:bCs w:val="false"/>
          <w:i w:val="false"/>
          <w:iCs w:val="false"/>
          <w:color w:val="000000"/>
          <w:sz w:val="22"/>
          <w:szCs w:val="22"/>
        </w:rPr>
        <w:t xml:space="preserve">This document, upon LT buy-off, carries constitutional weight within the Codex Sovereign Systems governance framework. It binds:</w:t>
      </w:r>
    </w:p>
    <w:p>
      <w:pPr>
        <w:spacing w:after="160" w:before="0"/>
        <w:jc w:val="left"/>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sz w:val="22"/>
          <w:szCs w:val="22"/>
        </w:rPr>
        <w:t xml:space="preserve">THE STEWARD: </w:t>
      </w:r>
      <w:r>
        <w:rPr>
          <w:rFonts w:ascii="Arial" w:cs="Arial" w:eastAsia="Arial" w:hAnsi="Arial"/>
          <w:sz w:val="22"/>
          <w:szCs w:val="22"/>
        </w:rPr>
        <w:t xml:space="preserve">To deploy agents only via frozen SIPs. To enforce phase gates. To review behaviour scores at weekly gates. To terminate agents that violate constitutional invariants.</w:t>
      </w:r>
    </w:p>
    <w:p>
      <w:pPr>
        <w:spacing w:after="160"/>
      </w:pPr>
      <w:r>
        <w:rPr>
          <w:rFonts w:ascii="Arial" w:cs="Arial" w:eastAsia="Arial" w:hAnsi="Arial"/>
          <w:b/>
          <w:bCs/>
          <w:sz w:val="22"/>
          <w:szCs w:val="22"/>
        </w:rPr>
        <w:t xml:space="preserve">THE LT: </w:t>
      </w:r>
      <w:r>
        <w:rPr>
          <w:rFonts w:ascii="Arial" w:cs="Arial" w:eastAsia="Arial" w:hAnsi="Arial"/>
          <w:sz w:val="22"/>
          <w:szCs w:val="22"/>
        </w:rPr>
        <w:t xml:space="preserve">To vote on deployment SIPs with economic evidence. To review fleet metrics weekly. To refuse scale requests that skip phase gates.</w:t>
      </w:r>
    </w:p>
    <w:p>
      <w:pPr>
        <w:spacing w:after="160"/>
      </w:pPr>
      <w:r>
        <w:rPr>
          <w:rFonts w:ascii="Arial" w:cs="Arial" w:eastAsia="Arial" w:hAnsi="Arial"/>
          <w:b/>
          <w:bCs/>
          <w:sz w:val="22"/>
          <w:szCs w:val="22"/>
        </w:rPr>
        <w:t xml:space="preserve">THE MACHINE: </w:t>
      </w:r>
      <w:r>
        <w:rPr>
          <w:rFonts w:ascii="Arial" w:cs="Arial" w:eastAsia="Arial" w:hAnsi="Arial"/>
          <w:sz w:val="22"/>
          <w:szCs w:val="22"/>
        </w:rPr>
        <w:t xml:space="preserve">To enforce capability tokens. To score behaviour continuously. To halt agents below threshold. To reconcile revenue across three ledgers. To produce evidence for every action.</w:t>
      </w:r>
    </w:p>
    <w:p>
      <w:pPr>
        <w:spacing w:after="160" w:before="0"/>
        <w:jc w:val="left"/>
      </w:pPr>
      <w:r>
        <w:rPr>
          <w:rFonts w:ascii="Arial" w:cs="Arial" w:eastAsia="Arial" w:hAnsi="Arial"/>
          <w:b w:val="false"/>
          <w:bCs w:val="false"/>
          <w:i w:val="false"/>
          <w:iCs w:val="false"/>
          <w:color w:val="000000"/>
          <w:sz w:val="22"/>
          <w:szCs w:val="22"/>
        </w:rPr>
        <w:t xml:space="preserve"/>
      </w:r>
    </w:p>
    <w:p>
      <w:pPr>
        <w:spacing w:after="160" w:before="0"/>
        <w:jc w:val="left"/>
      </w:pPr>
      <w:r>
        <w:rPr>
          <w:rFonts w:ascii="Arial" w:cs="Arial" w:eastAsia="Arial" w:hAnsi="Arial"/>
          <w:b w:val="false"/>
          <w:bCs w:val="false"/>
          <w:i w:val="false"/>
          <w:iCs w:val="false"/>
          <w:color w:val="000000"/>
          <w:sz w:val="22"/>
          <w:szCs w:val="22"/>
        </w:rPr>
        <w:t xml:space="preserve">This document derives authority from CSS-OPS-DOC-003 (Post-SIP Execution Engine). Agents are subject to the same governance framework as all other execution pipelines. There are no exceptions for agents.</w:t>
      </w:r>
    </w:p>
    <w:p>
      <w:pPr>
        <w:spacing w:after="160" w:before="0"/>
        <w:jc w:val="left"/>
      </w:pPr>
      <w:r>
        <w:rPr>
          <w:rFonts w:ascii="Arial" w:cs="Arial" w:eastAsia="Arial" w:hAnsi="Arial"/>
          <w:b w:val="false"/>
          <w:bCs w:val="false"/>
          <w:i w:val="false"/>
          <w:iCs w:val="false"/>
          <w:color w:val="000000"/>
          <w:sz w:val="22"/>
          <w:szCs w:val="22"/>
        </w:rPr>
        <w:t xml:space="preserve"/>
      </w:r>
    </w:p>
    <w:p>
      <w:pPr>
        <w:spacing w:after="160" w:before="0"/>
        <w:jc w:val="left"/>
      </w:pPr>
      <w:r>
        <w:rPr>
          <w:rFonts w:ascii="Arial" w:cs="Arial" w:eastAsia="Arial" w:hAnsi="Arial"/>
          <w:b w:val="false"/>
          <w:bCs w:val="false"/>
          <w:i w:val="false"/>
          <w:iCs w:val="false"/>
          <w:color w:val="000000"/>
          <w:sz w:val="22"/>
          <w:szCs w:val="22"/>
        </w:rPr>
        <w:t xml:space="preserve">Amendments require a new SIP, LT vote, and version increment. No amendment takes effect mid-cycle.</w:t>
      </w:r>
    </w:p>
    <w:p>
      <w:pPr>
        <w:spacing w:after="160" w:before="0"/>
        <w:jc w:val="left"/>
      </w:pPr>
      <w:r>
        <w:rPr>
          <w:rFonts w:ascii="Arial" w:cs="Arial" w:eastAsia="Arial" w:hAnsi="Arial"/>
          <w:b w:val="false"/>
          <w:bCs w:val="false"/>
          <w:i w:val="false"/>
          <w:iCs w:val="false"/>
          <w:color w:val="000000"/>
          <w:sz w:val="22"/>
          <w:szCs w:val="22"/>
        </w:rPr>
        <w:t xml:space="preserve"/>
      </w:r>
    </w:p>
    <w:p>
      <w:pPr>
        <w:pBdr>
          <w:top w:val="single" w:color="2E75B6" w:sz="6" w:space="4"/>
          <w:bottom w:val="single" w:color="2E75B6" w:sz="6" w:space="4"/>
        </w:pBdr>
        <w:spacing w:before="300" w:after="200"/>
        <w:jc w:val="center"/>
      </w:pPr>
      <w:r>
        <w:rPr>
          <w:rFonts w:ascii="Arial" w:cs="Arial" w:eastAsia="Arial" w:hAnsi="Arial"/>
          <w:b/>
          <w:bCs/>
          <w:color w:val="1A1A2E"/>
          <w:sz w:val="24"/>
          <w:szCs w:val="24"/>
        </w:rPr>
        <w:t xml:space="preserve">END OF DOCUMENT — CSS-OPS-DOC-004 v1.0</w:t>
      </w:r>
    </w:p>
    <w:p>
      <w:pPr>
        <w:spacing w:after="160" w:before="0"/>
        <w:jc w:val="left"/>
      </w:pPr>
      <w:r>
        <w:rPr>
          <w:rFonts w:ascii="Arial" w:cs="Arial" w:eastAsia="Arial" w:hAnsi="Arial"/>
          <w:b w:val="false"/>
          <w:bCs w:val="false"/>
          <w:i w:val="false"/>
          <w:iCs w:val="false"/>
          <w:color w:val="000000"/>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STEWARD SIGN-OFF</w:t>
            </w:r>
          </w:p>
        </w:tc>
        <w:tc>
          <w:tcPr>
            <w:tcW w:type="dxa" w:w="3169"/>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LT MEMBER 2</w:t>
            </w:r>
          </w:p>
        </w:tc>
        <w:tc>
          <w:tcPr>
            <w:tcW w:type="dxa" w:w="3169"/>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LT MEMBER 3</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Andy Jones</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Steven Jones</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Chris Bevan</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Date: _______________</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Date: _______________</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Date: _______________</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Vote:  YES  /  NO</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Vote:  YES  /  NO</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Vote:  YES  /  NO</w:t>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0000" w:sz="4" w:space="2"/>
      </w:pBdr>
      <w:jc w:val="center"/>
    </w:pPr>
    <w:r>
      <w:rPr>
        <w:rFonts w:ascii="Arial" w:cs="Arial" w:eastAsia="Arial" w:hAnsi="Arial"/>
        <w:b/>
        <w:bCs/>
        <w:color w:val="CC0000"/>
        <w:sz w:val="14"/>
        <w:szCs w:val="14"/>
      </w:rPr>
      <w:t xml:space="preserve">CONTROLLED DOCUMENT — DO NOT PRINT</w:t>
    </w:r>
  </w:p>
  <w:p>
    <w:pPr>
      <w:jc w:val="center"/>
    </w:pPr>
    <w:r>
      <w:rPr>
        <w:rFonts w:ascii="Arial" w:cs="Arial" w:eastAsia="Arial" w:hAnsi="Arial"/>
        <w:color w:val="666666"/>
        <w:sz w:val="14"/>
        <w:szCs w:val="14"/>
      </w:rPr>
      <w:t xml:space="preserve">CSS-OPS-DOC-004 | Codex Sovereign Systems | Classification: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space="2"/>
      </w:pBdr>
      <w:jc w:val="center"/>
    </w:pPr>
    <w:r>
      <w:rPr>
        <w:rFonts w:ascii="Arial" w:cs="Arial" w:eastAsia="Arial" w:hAnsi="Arial"/>
        <w:b/>
        <w:bCs/>
        <w:color w:val="CC0000"/>
        <w:sz w:val="16"/>
        <w:szCs w:val="16"/>
      </w:rPr>
      <w:t xml:space="preserve">CONTROLLED DOCUMENT — DO NOT 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1A2E"/>
      <w:sz w:val="30"/>
      <w:szCs w:val="30"/>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2026-02-16T23:30:14.993Z</dcterms:created>
  <dcterms:modified xsi:type="dcterms:W3CDTF">2026-02-16T23:30:14.994Z</dcterms:modified>
</cp:coreProperties>
</file>

<file path=docProps/custom.xml><?xml version="1.0" encoding="utf-8"?>
<Properties xmlns="http://schemas.openxmlformats.org/officeDocument/2006/custom-properties" xmlns:vt="http://schemas.openxmlformats.org/officeDocument/2006/docPropsVTypes"/>
</file>