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华文仿宋" w:eastAsia="黑体"/>
          <w:b/>
          <w:color w:val="FF0000"/>
          <w:sz w:val="28"/>
          <w:szCs w:val="28"/>
        </w:rPr>
      </w:pPr>
      <w:r>
        <w:rPr>
          <w:rFonts w:hint="eastAsia" w:ascii="黑体" w:hAnsi="华文仿宋" w:eastAsia="黑体"/>
          <w:b/>
          <w:color w:val="FF0000"/>
          <w:sz w:val="28"/>
          <w:szCs w:val="28"/>
        </w:rPr>
        <w:t>=================================</w:t>
      </w:r>
    </w:p>
    <w:p>
      <w:pPr>
        <w:rPr>
          <w:rFonts w:hint="eastAsia" w:ascii="黑体" w:hAnsi="华文仿宋" w:eastAsia="黑体"/>
          <w:b/>
          <w:color w:val="FF0000"/>
          <w:sz w:val="28"/>
          <w:szCs w:val="28"/>
        </w:rPr>
      </w:pPr>
      <w:r>
        <w:rPr>
          <w:rFonts w:hint="eastAsia" w:ascii="黑体" w:hAnsi="华文仿宋" w:eastAsia="黑体"/>
          <w:b/>
          <w:color w:val="FF0000"/>
          <w:sz w:val="28"/>
          <w:szCs w:val="28"/>
        </w:rPr>
        <w:t>=================================</w:t>
      </w:r>
    </w:p>
    <w:p>
      <w:pPr>
        <w:jc w:val="center"/>
        <w:rPr>
          <w:rFonts w:hint="eastAsia" w:ascii="黑体" w:hAnsi="华文仿宋" w:eastAsia="黑体"/>
          <w:b/>
          <w:color w:val="FF0000"/>
          <w:sz w:val="28"/>
          <w:szCs w:val="28"/>
        </w:rPr>
      </w:pPr>
      <w:r>
        <w:rPr>
          <w:rFonts w:hint="eastAsia" w:ascii="黑体" w:hAnsi="华文仿宋" w:eastAsia="黑体"/>
          <w:b/>
          <w:color w:val="FF0000"/>
          <w:sz w:val="28"/>
          <w:szCs w:val="28"/>
        </w:rPr>
        <w:t>关于学校通识课《宏观经济学》的成绩评定、平时作业的有关说明</w:t>
      </w:r>
    </w:p>
    <w:p>
      <w:pPr>
        <w:rPr>
          <w:rFonts w:hint="eastAsia" w:ascii="黑体" w:hAnsi="华文仿宋" w:eastAsia="黑体"/>
          <w:b/>
          <w:color w:val="FF0000"/>
          <w:sz w:val="24"/>
        </w:rPr>
      </w:pP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黑体" w:hAnsi="华文仿宋" w:eastAsia="黑体"/>
          <w:b/>
          <w:color w:val="FF0000"/>
          <w:sz w:val="24"/>
        </w:rPr>
        <w:t>考试对象：</w:t>
      </w:r>
      <w:r>
        <w:rPr>
          <w:rFonts w:hint="eastAsia" w:ascii="华文仿宋" w:hAnsi="华文仿宋" w:eastAsia="华文仿宋"/>
          <w:b/>
          <w:color w:val="FF0000"/>
          <w:sz w:val="24"/>
        </w:rPr>
        <w:t>学校通识课</w:t>
      </w: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黑体" w:hAnsi="华文仿宋" w:eastAsia="黑体"/>
          <w:b/>
          <w:color w:val="FF0000"/>
          <w:sz w:val="24"/>
        </w:rPr>
        <w:t>考试时间：</w:t>
      </w:r>
      <w:r>
        <w:rPr>
          <w:rFonts w:hint="eastAsia" w:ascii="华文仿宋" w:hAnsi="华文仿宋" w:eastAsia="华文仿宋"/>
          <w:b/>
          <w:color w:val="FF0000"/>
          <w:sz w:val="24"/>
        </w:rPr>
        <w:t>第20周的上课时间段</w:t>
      </w:r>
    </w:p>
    <w:p>
      <w:pPr>
        <w:rPr>
          <w:rFonts w:hint="eastAsia" w:ascii="黑体" w:hAnsi="华文仿宋" w:eastAsia="黑体"/>
          <w:b/>
          <w:color w:val="FF0000"/>
          <w:sz w:val="24"/>
        </w:rPr>
      </w:pPr>
    </w:p>
    <w:p>
      <w:pPr>
        <w:rPr>
          <w:rFonts w:hint="eastAsia" w:ascii="黑体" w:hAnsi="华文仿宋" w:eastAsia="黑体"/>
          <w:b/>
          <w:color w:val="FF0000"/>
          <w:sz w:val="24"/>
        </w:rPr>
      </w:pPr>
    </w:p>
    <w:p>
      <w:pPr>
        <w:rPr>
          <w:rFonts w:hint="eastAsia" w:ascii="黑体" w:hAnsi="华文仿宋" w:eastAsia="黑体"/>
          <w:b/>
          <w:color w:val="FF0000"/>
          <w:sz w:val="24"/>
        </w:rPr>
      </w:pPr>
      <w:r>
        <w:rPr>
          <w:rFonts w:hint="eastAsia" w:ascii="黑体" w:hAnsi="华文仿宋" w:eastAsia="黑体"/>
          <w:b/>
          <w:color w:val="FF0000"/>
          <w:sz w:val="24"/>
        </w:rPr>
        <w:t>一、评分依据：学校规定</w:t>
      </w:r>
    </w:p>
    <w:p>
      <w:pPr>
        <w:ind w:firstLine="480" w:firstLineChars="200"/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这里的“学校规定”，主要执行的是其中的三点刚性要求：</w:t>
      </w: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（1）学生的成绩分布要呈现出“正态分布”特征。</w:t>
      </w: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（2）平均分在75分至85分之间。</w:t>
      </w: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（3）90分以上的比例不超过30%。</w:t>
      </w:r>
    </w:p>
    <w:p>
      <w:pPr>
        <w:rPr>
          <w:rFonts w:hint="eastAsia" w:ascii="华文仿宋" w:hAnsi="华文仿宋" w:eastAsia="华文仿宋"/>
          <w:sz w:val="24"/>
        </w:rPr>
      </w:pP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黑体" w:hAnsi="华文仿宋" w:eastAsia="黑体"/>
          <w:b/>
          <w:color w:val="FF0000"/>
          <w:sz w:val="24"/>
        </w:rPr>
        <w:t>二、关键词：</w:t>
      </w:r>
      <w:r>
        <w:rPr>
          <w:rFonts w:hint="eastAsia" w:ascii="华文仿宋" w:hAnsi="华文仿宋" w:eastAsia="华文仿宋"/>
          <w:sz w:val="24"/>
        </w:rPr>
        <w:t>卷面分，平时作业分，评定成绩</w:t>
      </w:r>
    </w:p>
    <w:p>
      <w:pPr>
        <w:rPr>
          <w:rFonts w:hint="eastAsia" w:ascii="华文仿宋" w:hAnsi="华文仿宋" w:eastAsia="华文仿宋"/>
          <w:sz w:val="24"/>
        </w:rPr>
      </w:pP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1、“卷面分”，就是根据学生期末考试答卷卷面所评定出的分数（100分制）。这项成绩，最为初始，最为客观地给出了学生在教学班里的分数高低排序。后续的分数调整，不可以打破这个初始排序，而违背公平。</w:t>
      </w:r>
    </w:p>
    <w:p>
      <w:pPr>
        <w:rPr>
          <w:rFonts w:hint="eastAsia" w:ascii="华文仿宋" w:hAnsi="华文仿宋" w:eastAsia="华文仿宋"/>
          <w:sz w:val="24"/>
        </w:rPr>
      </w:pPr>
    </w:p>
    <w:p>
      <w:pPr>
        <w:ind w:firstLine="480"/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但根据“卷面分”，往往并不同时满足上述三条刚性要求（通常是一条要求也满足不了），所以这就必须在“卷面分”基础上进行成绩调整，调整的依据，就是“平时作业分”。</w:t>
      </w:r>
    </w:p>
    <w:p>
      <w:pPr>
        <w:rPr>
          <w:rFonts w:hint="eastAsia" w:ascii="华文仿宋" w:hAnsi="华文仿宋" w:eastAsia="华文仿宋"/>
          <w:sz w:val="24"/>
        </w:rPr>
      </w:pP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    在调整方法上，这里以一个50人教学班为例，操作如下：</w:t>
      </w: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①50乘30%，班里有15人上90分，这就满足了“校规”的第（3）条要求。</w:t>
      </w: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②20人左右在80分至89分之间；12人左右在70分至79分之间；3人左右在60分至69分之间。    这样做，就能满足“校规”的第（1）、（2）条要求，即成绩分布呈现“中间值多，两端值少”的钟型曲线特征，且平均分正好在80分至85分之间。</w:t>
      </w:r>
    </w:p>
    <w:p>
      <w:pPr>
        <w:rPr>
          <w:rFonts w:hint="eastAsia" w:ascii="华文仿宋" w:hAnsi="华文仿宋" w:eastAsia="华文仿宋"/>
          <w:sz w:val="24"/>
        </w:rPr>
      </w:pPr>
    </w:p>
    <w:p>
      <w:pPr>
        <w:ind w:firstLine="480" w:firstLineChars="200"/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“评定成绩”的具体评定方法如下：</w:t>
      </w: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①“卷面分”最高者，如果没有达到98分，则加上相应的上浮分数后加至98分，那么，这位同学就成为该教学班里“评定成绩”的最高分获得者（当然，他或者她的初始“卷面分”也必定是班上第一名；之所以追加相应的上浮分数，就是因为该同学完成了平时作业）。</w:t>
      </w:r>
    </w:p>
    <w:p>
      <w:pPr>
        <w:ind w:firstLine="480" w:firstLineChars="200"/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比如，某班某同学的“卷面分”为93分（教学班中最高“卷面分”），因为他或者她提交了平时作业，且作业认真，所以“卷面分”基础上直接上浮5分（平时作业分），即得“评定成绩”为98分。</w:t>
      </w:r>
    </w:p>
    <w:p>
      <w:pPr>
        <w:rPr>
          <w:rFonts w:hint="eastAsia" w:ascii="华文仿宋" w:hAnsi="华文仿宋" w:eastAsia="华文仿宋"/>
          <w:sz w:val="24"/>
        </w:rPr>
      </w:pP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②然后，按递降排列的“卷面分”次序，则其他同学的“评定成绩”将依序、递降地分布到97分，96分，95分，……，直至60分这些分数段位。根据抽屉原理，某个分数值上的分布人数不一定只有1位同学，比如，15位同学的分数分布到90至98分区间上，则平均每个分数值上约分布2位同学。</w:t>
      </w:r>
    </w:p>
    <w:p>
      <w:pPr>
        <w:rPr>
          <w:rFonts w:hint="eastAsia" w:ascii="华文仿宋" w:hAnsi="华文仿宋" w:eastAsia="华文仿宋"/>
          <w:sz w:val="24"/>
        </w:rPr>
      </w:pP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2、“平时作业”，是全体学生参加的，开卷形式的“预考”，“中段考”，和“补考”。</w:t>
      </w:r>
    </w:p>
    <w:p>
      <w:pPr>
        <w:ind w:firstLine="480" w:firstLineChars="200"/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《宏观经济学》课程设置有分章编列的，题量充足的“平时作业”。</w:t>
      </w: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①布置“平时作业”的目的之一，并不是用以决定学生的分数，而是给学生发放题解复习资料。“平时作业”中的选择题与判断题，其一定比例的题目会给出答案，目的就是让同学们在考试之前熟悉题型及解答方法，因此，“平时作业”并不具有计分功能，不须要计定具体分数值。</w:t>
      </w:r>
    </w:p>
    <w:p>
      <w:pPr>
        <w:rPr>
          <w:rFonts w:hint="eastAsia" w:ascii="华文仿宋" w:hAnsi="华文仿宋" w:eastAsia="华文仿宋"/>
          <w:sz w:val="24"/>
        </w:rPr>
      </w:pPr>
    </w:p>
    <w:p>
      <w:pPr>
        <w:ind w:firstLine="480" w:firstLineChars="200"/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“平时作业”是确保学生顺利通过课程、免于重修的关键环节，“平时作业”必须全部回收。“平时作业”的题量虽然比较“大剂量”，但我们对回收的“平时作业”均进行全批全阅，并对学生的作业完成情况，比如上交作业有没有缺章少节，有没有将其它学年的作业拿来“乌龙交差”，作业的完成态度是否认真，学生作业中有没有“天才般的灵光闪烁”等等，都在“平时作业记分册”上有纪录，并对“平时作业”给出“优”、“良”、“中”、“差”四个等级的定性评价，这些材料和期末考试记分册一起，均完整地提交给教务管理环节。</w:t>
      </w:r>
    </w:p>
    <w:p>
      <w:pPr>
        <w:rPr>
          <w:rFonts w:hint="eastAsia" w:ascii="华文仿宋" w:hAnsi="华文仿宋" w:eastAsia="华文仿宋"/>
          <w:sz w:val="24"/>
        </w:rPr>
      </w:pPr>
    </w:p>
    <w:p>
      <w:pPr>
        <w:ind w:firstLine="480" w:firstLineChars="200"/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“平时作业”，可看作是全体学生参加的，开卷形式的“预考”，“中段考”，和“补考”。这是布置“平时作业的”第二个目的。</w:t>
      </w:r>
    </w:p>
    <w:p>
      <w:pPr>
        <w:ind w:firstLine="480" w:firstLineChars="200"/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由于有“平时作业”的足量训练作为保障，再考虑到公选课班的同学已经有一个繁重的本专业学习任务，而且中大这种学校的学生生源十分优秀，为学生减负计，所以没有必要让学生们在公选类课程里出现补考。“平时作业”，就是全体学生参加的，开卷形式的“预考”，“中段考”，和“补考”。</w:t>
      </w:r>
    </w:p>
    <w:p>
      <w:pPr>
        <w:rPr>
          <w:rFonts w:hint="eastAsia" w:ascii="华文仿宋" w:hAnsi="华文仿宋" w:eastAsia="华文仿宋"/>
          <w:sz w:val="24"/>
        </w:rPr>
      </w:pP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②但“平时作业分”，又并非是根据“平时作业”的完成情况而分数化评定的，而是根据学校“三条刚规”（即“90分以上占30%；平均分在75分至85分之间，成绩要呈现正态分布要求”）这个制度规定调整出来的。这个“平时作业分”均在“平时作业”的卷面上有标明。</w:t>
      </w:r>
    </w:p>
    <w:p>
      <w:pPr>
        <w:rPr>
          <w:rFonts w:hint="eastAsia" w:ascii="华文仿宋" w:hAnsi="华文仿宋" w:eastAsia="华文仿宋"/>
          <w:sz w:val="24"/>
        </w:rPr>
      </w:pP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3、“评定成绩”，系“卷面分”和“平时作业分”两项分数的求和。</w:t>
      </w:r>
    </w:p>
    <w:p>
      <w:pPr>
        <w:ind w:firstLine="480"/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须要特别说明的是，每个同学获得上浮的“平时作业分”值并不相等，卷面分越低的同学，所得上浮分值越高，这样处理的合理性在于缩小了“卷面分”产生的分数极差，消除了低分长尾，从而保证分数分布的正态分布律。</w:t>
      </w:r>
    </w:p>
    <w:p>
      <w:pPr>
        <w:rPr>
          <w:rFonts w:hint="eastAsia" w:ascii="华文仿宋" w:hAnsi="华文仿宋" w:eastAsia="华文仿宋"/>
          <w:sz w:val="24"/>
        </w:rPr>
      </w:pP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4、课程、平时作业、期末试卷，为什么会有“一定难度”？</w:t>
      </w:r>
    </w:p>
    <w:p>
      <w:pPr>
        <w:rPr>
          <w:rFonts w:hint="eastAsia"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    “难度”，是一个相对论问题，A同学说难的知识点，在B同学那里被认为不难，C同学则认为十分简单，如此一来就能实现把同学们从“混同”状态清晰区分开来，所以“难度”就是“区分度”，它能确保把同学们的考试分数做出高低区分，恰是因为如此，所以我们的教材选取与教学内容选择，课堂教学，平时作业，期末试卷，皆坚持具有“必要的难度”，从而消除了“所有的同学都能解答所有的题目”这种试而不分的荒诞之局的出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DB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czh</dc:creator>
  <cp:lastModifiedBy>yy“Handsome the chen、</cp:lastModifiedBy>
  <dcterms:modified xsi:type="dcterms:W3CDTF">2020-12-29T13:31:02Z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