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Apatinib vs Placebo for Pretreated Advanced Gastric Cancer: Overall Survival</w:t>
      </w:r>
    </w:p>
    <w:p>
      <w:r>
        <w:rPr>
          <w:i/>
        </w:rPr>
        <w:t>Generated by: graph-interpretation → figure-legend-gen bridge</w:t>
      </w:r>
    </w:p>
    <w:p>
      <w:pPr>
        <w:pStyle w:val="Heading2"/>
      </w:pPr>
      <w:r>
        <w:t>中文学术图注:</w:t>
      </w:r>
    </w:p>
    <w:p>
      <w:r>
        <w:t>图1 Apatinib vs Placebo for Pretreated Advanced Gastric Cancer: Overall Survival本研究通过kaplan_meier对数据进行可视化呈现。研究对象及检测方法见正文。结果显示，HR=0.71（事件风险降低29%）。统计量：（HR=0.71，95% CI 0.54-0.93，p=0.014，n=273）。上述结果提示，Apatinib 850 mg qd 中位生存期: 6.5；Placebo 中位生存期: 4.7；风险表: {'Apatinib 850 mg qd': [137, 121, 95, 62, 31, 12], 'Placebo': [136, 119, 78, 41, 18, 6]}</w:t>
      </w:r>
    </w:p>
    <w:p>
      <w:pPr>
        <w:pStyle w:val="Heading2"/>
      </w:pPr>
      <w:r>
        <w:t>模板段落 / Template</w:t>
      </w:r>
    </w:p>
    <w:p>
      <w:r/>
      <w:r>
        <w:rPr>
          <w:b/>
        </w:rPr>
        <w:t>Figure verify.</w:t>
      </w:r>
      <w:r>
        <w:t xml:space="preserve"> Time course of Overall survival in Apatinib 850 mg qd vs Placebo</w:t>
      </w:r>
    </w:p>
    <w:p>
      <w:r>
        <w:t>Line graph showing Overall survival over follow-up time in 273 participants.</w:t>
      </w:r>
    </w:p>
    <w:p>
      <w:r>
        <w:t>Data points represent mean ± SEM from n=273 replicates per time point.</w:t>
      </w:r>
    </w:p>
    <w:p>
      <w:r>
        <w:t>Significance compared to control: *p&lt;0.05, **p&lt;0.01.</w:t>
      </w:r>
    </w:p>
    <w:p>
      <w:r>
        <w:t>Shaded areas indicate standard error of the mean.</w:t>
      </w:r>
    </w:p>
    <w:p>
      <w:r/>
      <w:r>
        <w:rPr>
          <w:b/>
        </w:rPr>
        <w:t>Primary effect</w:t>
      </w:r>
      <w:r>
        <w:t>: HR=0.71，95% CI 0.54-0.93，p=0.0136</w:t>
      </w:r>
    </w:p>
    <w:p>
      <w:r/>
      <w:r>
        <w:rPr>
          <w:b/>
        </w:rPr>
        <w:t>Notes from graph-interpretation</w:t>
      </w:r>
      <w:r>
        <w:t>: Apatinib 850 mg qd 中位生存期: 6.5 | Placebo 中位生存期: 4.7 | 风险表: {'Apatinib 850 mg qd': [137, 121, 95, 62, 31, 12], 'Placebo': [136, 119, 78, 41, 18, 6]} | 比例风险假设检验 p=0.28（&gt;0.05 表示满足） | 删失率 16.0%</w:t>
      </w:r>
    </w:p>
    <w:p>
      <w:pPr>
        <w:pStyle w:val="Heading2"/>
      </w:pPr>
      <w:r>
        <w:t>受众 / researchers</w:t>
      </w:r>
    </w:p>
    <w:p>
      <w:r>
        <w:t>【研究型解读】</w:t>
      </w:r>
    </w:p>
    <w:p>
      <w:r>
        <w:t>标题：Apatinib vs Placebo for Pretreated Advanced Gastric Cancer: Overall Survival</w:t>
      </w:r>
    </w:p>
    <w:p>
      <w:r>
        <w:t>主要效应：HR=0.71，95% CI 0.54-0.93，p=0.014，n=273</w:t>
      </w:r>
    </w:p>
    <w:p>
      <w:r>
        <w:t>关键注释：Apatinib 850 mg qd 中位生存期: 6.5；Placebo 中位生存期: 4.7；风险表: {'Apatinib 850 mg qd': [137, 121, 95, 62, 31, 12], 'Placebo': [136, 119, 78, 41, 18, 6]}；比例风险假设检验 p=0.28（&gt;0.05 表示满足）；删失率 16.0%</w:t>
      </w:r>
    </w:p>
    <w:p>
      <w:pPr>
        <w:pStyle w:val="Heading2"/>
      </w:pPr>
      <w:r>
        <w:t>受众 / clinicians</w:t>
      </w:r>
    </w:p>
    <w:p>
      <w:r>
        <w:t>【临床医生解读】</w:t>
      </w:r>
    </w:p>
    <w:p>
      <w:r>
        <w:t>治疗使事件风险下降 29%（HR=0.71，具有统计学意义）。对符合条件的患者可考虑该方案；同时建议关注 NCCN/CSCO 指南推荐级别更新。</w:t>
      </w:r>
    </w:p>
    <w:p>
      <w:pPr>
        <w:pStyle w:val="Heading2"/>
      </w:pPr>
      <w:r>
        <w:t>受众 / patients</w:t>
      </w:r>
    </w:p>
    <w:p>
      <w:r>
        <w:t>【通俗解读】</w:t>
      </w:r>
    </w:p>
    <w:p>
      <w:r>
        <w:t>这种治疗能明显延长生存，约每 10 个人里有 3 个人能从治疗中得到明显帮助。</w:t>
      </w:r>
    </w:p>
    <w:p>
      <w:r>
        <w:t>（以上内容仅供了解参考，不替代医生面诊，请结合临床实际情况判断；具体治疗方案请遵医嘱。）</w:t>
      </w:r>
    </w:p>
    <w:p>
      <w:pPr>
        <w:pStyle w:val="Heading2"/>
      </w:pPr>
      <w:r>
        <w:t>受众 / policy_makers</w:t>
      </w:r>
    </w:p>
    <w:p>
      <w:r>
        <w:t>【政策视角解读】</w:t>
      </w:r>
    </w:p>
    <w:p>
      <w:r>
        <w:t>按当前效应推算，约每 3.4 人接受治疗可减少 1 例不良事件，在人群层面值得纳入医保目录或指南评估。</w:t>
      </w:r>
    </w:p>
    <w:p>
      <w:pPr>
        <w:pStyle w:val="Heading2"/>
      </w:pPr>
      <w:r>
        <w:t>批判性评价清单 (CONSORT + Cochrane RoB 2)</w:t>
      </w:r>
    </w:p>
    <w:p>
      <w:r>
        <w:t>总条目: 8（通过 6，未通过 0，未评估 2）</w:t>
      </w:r>
    </w:p>
    <w:p>
      <w:r>
        <w:t>整体得分: 100.0%</w:t>
      </w:r>
    </w:p>
    <w:p>
      <w:r>
        <w:t xml:space="preserve">- [·] </w:t>
      </w:r>
      <w:r>
        <w:rPr>
          <w:b/>
        </w:rPr>
        <w:t>KM-1</w:t>
      </w:r>
      <w:r>
        <w:t xml:space="preserve"> 是否报告中位生存期与 95% CI？</w:t>
      </w:r>
    </w:p>
    <w:p>
      <w:r>
        <w:t xml:space="preserve">- [✓] </w:t>
      </w:r>
      <w:r>
        <w:rPr>
          <w:b/>
        </w:rPr>
        <w:t>KM-2</w:t>
      </w:r>
      <w:r>
        <w:t xml:space="preserve"> 是否提供风险表（at-risk table）？  (at_risk 已给出)</w:t>
      </w:r>
    </w:p>
    <w:p>
      <w:r>
        <w:t xml:space="preserve">- [✓] </w:t>
      </w:r>
      <w:r>
        <w:rPr>
          <w:b/>
        </w:rPr>
        <w:t>KM-3</w:t>
      </w:r>
      <w:r>
        <w:t xml:space="preserve"> 是否给出 log-rank p 值？</w:t>
      </w:r>
    </w:p>
    <w:p>
      <w:r>
        <w:t xml:space="preserve">- [✓] </w:t>
      </w:r>
      <w:r>
        <w:rPr>
          <w:b/>
        </w:rPr>
        <w:t>KM-4</w:t>
      </w:r>
      <w:r>
        <w:t xml:space="preserve"> 是否检验比例风险假设（Schoenfeld 残差）？  (Schoenfeld p=0.28)</w:t>
      </w:r>
    </w:p>
    <w:p>
      <w:r>
        <w:t xml:space="preserve">- [✓] </w:t>
      </w:r>
      <w:r>
        <w:rPr>
          <w:b/>
        </w:rPr>
        <w:t>KM-5</w:t>
      </w:r>
      <w:r>
        <w:t xml:space="preserve"> 是否报告删失率与删失原因？  (censoring_rate=0.16)</w:t>
      </w:r>
    </w:p>
    <w:p>
      <w:r>
        <w:t xml:space="preserve">- [·] </w:t>
      </w:r>
      <w:r>
        <w:rPr>
          <w:b/>
        </w:rPr>
        <w:t>KM-6</w:t>
      </w:r>
      <w:r>
        <w:t xml:space="preserve"> 随访时间是否足够（中位随访 ≥ 主要事件中位时间）？</w:t>
      </w:r>
    </w:p>
    <w:p>
      <w:r>
        <w:t xml:space="preserve">- [✓] </w:t>
      </w:r>
      <w:r>
        <w:rPr>
          <w:b/>
        </w:rPr>
        <w:t>KM-7</w:t>
      </w:r>
      <w:r>
        <w:t xml:space="preserve"> 是否按意向治疗（ITT）原则分析？  (itt_analysis=True)</w:t>
      </w:r>
    </w:p>
    <w:p>
      <w:r>
        <w:t xml:space="preserve">- [✓] </w:t>
      </w:r>
      <w:r>
        <w:rPr>
          <w:b/>
        </w:rPr>
        <w:t>KM-8</w:t>
      </w:r>
      <w:r>
        <w:t xml:space="preserve"> HR 95% CI 是否过宽（＞2 倍中位比）？  (CI 宽度/效应=0.55)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