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model ROC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Diagnostic model ROC本研究通过roc_curve对数据进行可视化呈现。研究对象及检测方法见正文。结果显示，AUC=0.860（判别力良好）。统计量：（AUC=0.86，95% CI 0.81-0.91）。上述结果提示，AUC 0.8-0.9：良好判别力；最佳截断值=0.45，敏感度=0.82，特异度=0.78，Youden=0.60；共 2 条 ROC 曲线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the tested samples.</w:t>
      </w:r>
    </w:p>
    <w:p>
      <w:r>
        <w:t>Each point represents an individual sample. n=3.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AUC=0.86，95% CI 0.81-0.91</w:t>
      </w:r>
    </w:p>
    <w:p>
      <w:r/>
      <w:r>
        <w:rPr>
          <w:b/>
        </w:rPr>
        <w:t>Notes from graph-interpretation</w:t>
      </w:r>
      <w:r>
        <w:t>: AUC 0.8-0.9：良好判别力 | 最佳截断值=0.45，敏感度=0.82，特异度=0.78，Youden=0.60 | 共 2 条 ROC 曲线 | DeLong 比较检验 p=0.012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标题：Diagnostic model ROC</w:t>
      </w:r>
    </w:p>
    <w:p>
      <w:r>
        <w:t>主要效应：AUC=0.860，95% CI 0.81-0.91</w:t>
      </w:r>
    </w:p>
    <w:p>
      <w:r>
        <w:t>关键注释：AUC 0.8-0.9：良好判别力；最佳截断值=0.45，敏感度=0.82，特异度=0.78，Youden=0.60；共 2 条 ROC 曲线；DeLong 比较检验 p=0.012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该诊断工具判别力良好（AUC=0.860），可在临床场景辅助决策。若涉及收费项目，建议核对该项目是否纳入医保目录。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这个检查比较靠谱，能比较好地区分有病和没病。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该诊断工具达到筛查/早诊技术门槛，已具备大规模推广的技术可行性。若涉及新增收费项目，可考虑纳入医保谈判议程。</w:t>
      </w:r>
    </w:p>
    <w:p>
      <w:pPr>
        <w:pStyle w:val="Heading2"/>
      </w:pPr>
      <w:r>
        <w:t>批判性评价清单 (STARD + TRIPOD)</w:t>
      </w:r>
    </w:p>
    <w:p>
      <w:r>
        <w:t>总条目: 15（通过 13，未通过 1，未评估 1）</w:t>
      </w:r>
    </w:p>
    <w:p>
      <w:r>
        <w:t>整体得分: 92.9%</w:t>
      </w:r>
    </w:p>
    <w:p>
      <w:r>
        <w:t xml:space="preserve">- [✓] </w:t>
      </w:r>
      <w:r>
        <w:rPr>
          <w:b/>
        </w:rPr>
        <w:t>ROC-1</w:t>
      </w:r>
      <w:r>
        <w:t xml:space="preserve"> 是否报告 AUC 与 95% CI？</w:t>
      </w:r>
    </w:p>
    <w:p>
      <w:r>
        <w:t xml:space="preserve">- [✓] </w:t>
      </w:r>
      <w:r>
        <w:rPr>
          <w:b/>
        </w:rPr>
        <w:t>ROC-2</w:t>
      </w:r>
      <w:r>
        <w:t xml:space="preserve"> 是否说明参考标准（gold standard）？  (gold_standard=Histopathology confirmed)</w:t>
      </w:r>
    </w:p>
    <w:p>
      <w:r>
        <w:t xml:space="preserve">- [✓] </w:t>
      </w:r>
      <w:r>
        <w:rPr>
          <w:b/>
        </w:rPr>
        <w:t>ROC-3</w:t>
      </w:r>
      <w:r>
        <w:t xml:space="preserve"> 是否避免 cut-off 优化导致的过度拟合（验证集独立）？  (external_validation=True)</w:t>
      </w:r>
    </w:p>
    <w:p>
      <w:r>
        <w:t xml:space="preserve">- [✓] </w:t>
      </w:r>
      <w:r>
        <w:rPr>
          <w:b/>
        </w:rPr>
        <w:t>ROC-4</w:t>
      </w:r>
      <w:r>
        <w:t xml:space="preserve"> 是否报告敏感度、特异度、PPV、NPV？</w:t>
      </w:r>
    </w:p>
    <w:p>
      <w:r>
        <w:t xml:space="preserve">- [✓] </w:t>
      </w:r>
      <w:r>
        <w:rPr>
          <w:b/>
        </w:rPr>
        <w:t>ROC-5</w:t>
      </w:r>
      <w:r>
        <w:t xml:space="preserve"> 是否在盲法下评估诊断结果？  (blinded=True)</w:t>
      </w:r>
    </w:p>
    <w:p>
      <w:r>
        <w:t xml:space="preserve">- [✓] </w:t>
      </w:r>
      <w:r>
        <w:rPr>
          <w:b/>
        </w:rPr>
        <w:t>ROC-6</w:t>
      </w:r>
      <w:r>
        <w:t xml:space="preserve"> 样本量是否充分（事件数 ≥ 10 per covariate）？  (EPP=14)</w:t>
      </w:r>
    </w:p>
    <w:p>
      <w:r>
        <w:t xml:space="preserve">- [✓] </w:t>
      </w:r>
      <w:r>
        <w:rPr>
          <w:b/>
        </w:rPr>
        <w:t>ROC-7</w:t>
      </w:r>
      <w:r>
        <w:t xml:space="preserve"> 多模型 AUC 是否做 DeLong 检验比较？  (DeLong p=0.012)</w:t>
      </w:r>
    </w:p>
    <w:p>
      <w:r>
        <w:t xml:space="preserve">- [✓] </w:t>
      </w:r>
      <w:r>
        <w:rPr>
          <w:b/>
        </w:rPr>
        <w:t>ROC-8</w:t>
      </w:r>
      <w:r>
        <w:t xml:space="preserve"> 最优 cut-off 是否在外部验证集中验证？  (external_validation=True)</w:t>
      </w:r>
    </w:p>
    <w:p>
      <w:r>
        <w:t xml:space="preserve">- [·] </w:t>
      </w:r>
      <w:r>
        <w:rPr>
          <w:b/>
        </w:rPr>
        <w:t>TRI-1</w:t>
      </w:r>
      <w:r>
        <w:t xml:space="preserve"> 是否声明研究类型（开发 / 验证 / 两者）？</w:t>
      </w:r>
    </w:p>
    <w:p>
      <w:r>
        <w:t xml:space="preserve">- [✓] </w:t>
      </w:r>
      <w:r>
        <w:rPr>
          <w:b/>
        </w:rPr>
        <w:t>TRI-2</w:t>
      </w:r>
      <w:r>
        <w:t xml:space="preserve"> discrimination 是否报告 C 统计量或 AUC + 95% CI？</w:t>
      </w:r>
    </w:p>
    <w:p>
      <w:r>
        <w:t xml:space="preserve">- [✗] </w:t>
      </w:r>
      <w:r>
        <w:rPr>
          <w:b/>
        </w:rPr>
        <w:t>TRI-3</w:t>
      </w:r>
      <w:r>
        <w:t xml:space="preserve"> calibration 是否评估（calibration plot / Hosmer-Lemeshow / slope+intercept）？</w:t>
      </w:r>
    </w:p>
    <w:p>
      <w:r>
        <w:t xml:space="preserve">- [✓] </w:t>
      </w:r>
      <w:r>
        <w:rPr>
          <w:b/>
        </w:rPr>
        <w:t>TRI-4</w:t>
      </w:r>
      <w:r>
        <w:t xml:space="preserve"> 是否报告完整模型规格（公式 / 截距 / 系数）？</w:t>
      </w:r>
    </w:p>
    <w:p>
      <w:r>
        <w:t xml:space="preserve">- [✓] </w:t>
      </w:r>
      <w:r>
        <w:rPr>
          <w:b/>
        </w:rPr>
        <w:t>TRI-5</w:t>
      </w:r>
      <w:r>
        <w:t xml:space="preserve"> 内验证是否实施（bootstrap / cross-validation / split）？  (internal_validation=None)</w:t>
      </w:r>
    </w:p>
    <w:p>
      <w:r>
        <w:t xml:space="preserve">- [✓] </w:t>
      </w:r>
      <w:r>
        <w:rPr>
          <w:b/>
        </w:rPr>
        <w:t>TRI-6</w:t>
      </w:r>
      <w:r>
        <w:t xml:space="preserve"> 外部验证是否有独立队列？  (external_validation=True)</w:t>
      </w:r>
    </w:p>
    <w:p>
      <w:r>
        <w:t xml:space="preserve">- [✓] </w:t>
      </w:r>
      <w:r>
        <w:rPr>
          <w:b/>
        </w:rPr>
        <w:t>TRI-7</w:t>
      </w:r>
      <w:r>
        <w:t xml:space="preserve"> 临床效用是否评估（decision curve / NRI / IDI）？  (decision_curve=None)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