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 by treatment arm</w:t>
      </w:r>
    </w:p>
    <w:p>
      <w:r>
        <w:rPr>
          <w:i/>
        </w:rPr>
        <w:t>Generated by: graph-interpretation → figure-legend-gen bridge</w:t>
      </w:r>
      <w:r>
        <w:rPr>
          <w:i/>
        </w:rPr>
        <w:br/>
        <w:t>Date: 2026-09-05 (auto-rendered)</w:t>
      </w:r>
    </w:p>
    <w:p>
      <w:r/>
      <w:r>
        <w:rPr>
          <w:b/>
        </w:rPr>
        <w:t>Figure 1.</w:t>
      </w:r>
      <w:r>
        <w:t xml:space="preserve"> Time course of Overall survival in Experimental vs Control</w:t>
      </w:r>
    </w:p>
    <w:p>
      <w:r>
        <w:t>Line graph showing Overall survival over follow-up time in 480 participants.</w:t>
      </w:r>
    </w:p>
    <w:p>
      <w:r>
        <w:t>Data points represent mean ± SEM from n=480 replicates per time point.</w:t>
      </w:r>
    </w:p>
    <w:p>
      <w:r>
        <w:t>Significance compared to control: *p&lt;0.05, **p&lt;0.01.</w:t>
      </w:r>
    </w:p>
    <w:p>
      <w:r>
        <w:t>Shaded areas indicate standard error of the mean.</w:t>
      </w:r>
    </w:p>
    <w:p>
      <w:r/>
      <w:r>
        <w:rPr>
          <w:b/>
        </w:rPr>
        <w:t>Primary effect</w:t>
      </w:r>
      <w:r>
        <w:t>: HR=0.72，95% CI 0.58-0.89，p=0.003</w:t>
      </w:r>
    </w:p>
    <w:p>
      <w:r/>
      <w:r>
        <w:rPr>
          <w:b/>
        </w:rPr>
        <w:t>Notes from graph-interpretation</w:t>
      </w:r>
      <w:r>
        <w:t>: Experimental 中位生存期: 19.6 | Control 中位生存期: 14.2 | 风险表: {'Experimental': [240, 220, 180, 120], 'Control': [240, 200, 150, 90]} | 比例风险假设检验 p=0.42（&gt;0.05 表示满足）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