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All-cause mortality (random-effects)</w:t>
      </w:r>
    </w:p>
    <w:p>
      <w:r>
        <w:rPr>
          <w:i/>
        </w:rPr>
        <w:t>Generated by: graph-interpretation → figure-legend-gen bridge</w:t>
      </w:r>
      <w:r>
        <w:rPr>
          <w:i/>
        </w:rPr>
        <w:br/>
        <w:t>Date: 2026-09-05 (auto-rendered)</w:t>
      </w:r>
    </w:p>
    <w:p>
      <w:r/>
      <w:r>
        <w:rPr>
          <w:b/>
        </w:rPr>
        <w:t>Figure 2.</w:t>
      </w:r>
      <w:r>
        <w:t xml:space="preserve"> Comparison of OR across pooled meta-analysis</w:t>
      </w:r>
    </w:p>
    <w:p>
      <w:r>
        <w:t>Bar chart showing OR in 4 studies, 1307 participants.</w:t>
      </w:r>
    </w:p>
    <w:p>
      <w:r>
        <w:t>Data are presented as mean ± SEM from n=1307 independent experiments.</w:t>
      </w:r>
    </w:p>
    <w:p>
      <w:r>
        <w:t xml:space="preserve">Statistical significance was determined by random-effects model; *p&lt;0.05, </w:t>
      </w:r>
      <w:r>
        <w:rPr>
          <w:b/>
        </w:rPr>
        <w:t xml:space="preserve">p&lt;0.01, </w:t>
      </w:r>
      <w:r>
        <w:t>*p&lt;0.001.</w:t>
      </w:r>
    </w:p>
    <w:p>
      <w:r>
        <w:t>Error bars represent standard error of the mean (SEM).</w:t>
      </w:r>
    </w:p>
    <w:p>
      <w:r/>
      <w:r>
        <w:rPr>
          <w:b/>
        </w:rPr>
        <w:t>Primary effect</w:t>
      </w:r>
      <w:r>
        <w:t>: OR=0.85，95% CI 0.74-0.98</w:t>
      </w:r>
    </w:p>
    <w:p>
      <w:r/>
      <w:r>
        <w:rPr>
          <w:b/>
        </w:rPr>
        <w:t>Notes from graph-interpretation</w:t>
      </w:r>
      <w:r>
        <w:t>: 效应模型: random（随机效应）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