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 model ROC</w:t>
      </w:r>
    </w:p>
    <w:p>
      <w:r>
        <w:rPr>
          <w:i/>
        </w:rPr>
        <w:t>Generated by: graph-interpretation → figure-legend-gen bridge</w:t>
      </w:r>
      <w:r>
        <w:rPr>
          <w:i/>
        </w:rPr>
        <w:br/>
        <w:t>Date: 2026-09-05 (auto-rendered)</w:t>
      </w:r>
    </w:p>
    <w:p>
      <w:r/>
      <w:r>
        <w:rPr>
          <w:b/>
        </w:rPr>
        <w:t>Figure 3.</w:t>
      </w:r>
      <w:r>
        <w:t xml:space="preserve"> Correlation between 1 - Specificity (FPR) and Sensitivity (TPR)</w:t>
      </w:r>
    </w:p>
    <w:p>
      <w:r>
        <w:t>Scatter plot showing the relationship between 1 - Specificity (FPR) and Sensitivity (TPR) in the tested samples.</w:t>
      </w:r>
    </w:p>
    <w:p>
      <w:r>
        <w:t>Each point represents an individual sample. n=3.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AUC=0.86，95% CI 0.81-0.91</w:t>
      </w:r>
    </w:p>
    <w:p>
      <w:r/>
      <w:r>
        <w:rPr>
          <w:b/>
        </w:rPr>
        <w:t>Notes from graph-interpretation</w:t>
      </w:r>
      <w:r>
        <w:t>: AUC 0.8-0.9：良好判别力 | 最佳截断值=0.45，敏感度=0.82，特异度=0.78，Youden=0.60 | 共 2 条 ROC 曲线 | DeLong 比较检验 p=0.012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