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0" w:name="executive-summary"/>
      <w:r>
        <w:t xml:space="preserve">Executive Summary</w:t>
      </w:r>
      <w:bookmarkEnd w:id="20"/>
    </w:p>
    <w:p>
      <w:pPr>
        <w:pStyle w:val="FirstParagraph"/>
      </w:pPr>
      <w:r>
        <w:t xml:space="preserve">This document is a guide to writing corporate documents using the LaTeX document preparation system.</w:t>
      </w:r>
    </w:p>
    <w:p>
      <w:pPr>
        <w:pStyle w:val="BodyText"/>
      </w:pPr>
      <w:r>
        <w:t xml:space="preserve">This document also serves as a template. It is intended for people with some familiarity with LaTeX.</w:t>
      </w:r>
    </w:p>
    <w:p>
      <w:pPr>
        <w:pStyle w:val="Heading1"/>
      </w:pPr>
      <w:bookmarkStart w:id="21" w:name="what-is-latex"/>
      <w:r>
        <w:t xml:space="preserve">What is LaTeX?</w:t>
      </w:r>
      <w:bookmarkEnd w:id="21"/>
    </w:p>
    <w:p>
      <w:pPr>
        <w:pStyle w:val="FirstParagraph"/>
      </w:pPr>
      <w:r>
        <w:t xml:space="preserve">LaTeX is a mark-up language that describes how a document should be prepared.</w:t>
      </w:r>
    </w:p>
    <w:p>
      <w:pPr>
        <w:pStyle w:val="BodyText"/>
      </w:pPr>
      <w:r>
        <w:t xml:space="preserve">Three things are needed to make a LaTeX document:</w:t>
      </w:r>
    </w:p>
    <w:p>
      <w:pPr>
        <w:numPr>
          <w:ilvl w:val="0"/>
          <w:numId w:val="1001"/>
        </w:numPr>
      </w:pPr>
      <w:r>
        <w:t xml:space="preserve">A source document, usually with extension</w:t>
      </w:r>
      <w:r>
        <w:t xml:space="preserve"> </w:t>
      </w:r>
      <w:r>
        <w:rPr>
          <w:i/>
        </w:rPr>
        <w:t xml:space="preserve">.tex</w:t>
      </w:r>
    </w:p>
    <w:p>
      <w:pPr>
        <w:numPr>
          <w:ilvl w:val="0"/>
          <w:numId w:val="1001"/>
        </w:numPr>
      </w:pPr>
      <w:r>
        <w:t xml:space="preserve">Some packages and classes that help turn what’s in the source document into something helpful</w:t>
      </w:r>
    </w:p>
    <w:p>
      <w:pPr>
        <w:numPr>
          <w:ilvl w:val="0"/>
          <w:numId w:val="1001"/>
        </w:numPr>
      </w:pPr>
      <w:r>
        <w:t xml:space="preserve">A compiler, also referred to as a working LaTeX installation. This could be local or web-based, for example at</w:t>
      </w:r>
      <w:r>
        <w:t xml:space="preserve"> </w:t>
      </w:r>
      <w:hyperlink r:id="rId22">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Knuth (1984)</w:t>
      </w:r>
      <w:r>
        <w:t xml:space="preserve"> </w:t>
      </w:r>
      <w:r>
        <w:t xml:space="preserve">and</w:t>
      </w:r>
      <w:r>
        <w:t xml:space="preserve"> </w:t>
      </w:r>
      <w:r>
        <w:t xml:space="preserve">Lamport (1986)</w:t>
      </w:r>
      <w:r>
        <w:t xml:space="preserve">.</w:t>
      </w:r>
    </w:p>
    <w:p>
      <w:pPr>
        <w:pStyle w:val="Heading2"/>
      </w:pPr>
      <w:bookmarkStart w:id="24" w:name="online-resources"/>
      <w:r>
        <w:t xml:space="preserve">Online Resources</w:t>
      </w:r>
      <w:bookmarkEnd w:id="24"/>
    </w:p>
    <w:p>
      <w:pPr>
        <w:pStyle w:val="FirstParagraph"/>
      </w:pPr>
      <w:r>
        <w:t xml:space="preserve">The wikibook at</w:t>
      </w:r>
      <w:r>
        <w:t xml:space="preserve"> </w:t>
      </w:r>
      <w:hyperlink r:id="rId25">
        <w:r>
          <w:rPr>
            <w:rStyle w:val="Hyperlink"/>
          </w:rPr>
          <w:t xml:space="preserve">http://en.wikibooks.org/wiki/LaTeX</w:t>
        </w:r>
      </w:hyperlink>
      <w:r>
        <w:t xml:space="preserve"> </w:t>
      </w:r>
      <w:r>
        <w:t xml:space="preserve">is an excellent resource. There are also several internet forums such as</w:t>
      </w:r>
      <w:r>
        <w:t xml:space="preserve"> </w:t>
      </w:r>
      <w:hyperlink r:id="rId26">
        <w:r>
          <w:rPr>
            <w:rStyle w:val="Hyperlink"/>
          </w:rPr>
          <w:t xml:space="preserve">tex.stackexchange.com</w:t>
        </w:r>
      </w:hyperlink>
      <w:r>
        <w:t xml:space="preserve"> </w:t>
      </w:r>
      <w:r>
        <w:t xml:space="preserve">that may be useful.</w:t>
      </w:r>
    </w:p>
    <w:p>
      <w:pPr>
        <w:pStyle w:val="BodyText"/>
      </w:pPr>
      <w:r>
        <w:t xml:space="preserve">Documentation for the packages used in the class files (Section</w:t>
      </w:r>
      <w:r>
        <w:t xml:space="preserve"> </w:t>
      </w:r>
      <w:hyperlink w:anchor="sec:Corporatecls">
        <w:r>
          <w:rPr>
            <w:rStyle w:val="Hyperlink"/>
          </w:rPr>
          <w:t xml:space="preserve">2.1</w:t>
        </w:r>
      </w:hyperlink>
      <w:r>
        <w:t xml:space="preserve">) can be found at</w:t>
      </w:r>
      <w:r>
        <w:t xml:space="preserve"> </w:t>
      </w:r>
      <w:hyperlink r:id="rId27">
        <w:r>
          <w:rPr>
            <w:rStyle w:val="Hyperlink"/>
          </w:rPr>
          <w:t xml:space="preserve">ctan.org</w:t>
        </w:r>
      </w:hyperlink>
      <w:r>
        <w:t xml:space="preserve">.</w:t>
      </w:r>
    </w:p>
    <w:p>
      <w:pPr>
        <w:pStyle w:val="Heading1"/>
      </w:pPr>
      <w:bookmarkStart w:id="28" w:name="using-latex-to-make-corporate-documents"/>
      <w:r>
        <w:t xml:space="preserve">Using LaTeX to Make Corporate Documents</w:t>
      </w:r>
      <w:r>
        <w:t xml:space="preserve"> </w:t>
      </w:r>
      <w:bookmarkEnd w:id="28"/>
    </w:p>
    <w:p>
      <w:pPr>
        <w:pStyle w:val="FirstParagraph"/>
      </w:pPr>
      <w:r>
        <w:t xml:space="preserve">A LaTeX style file called</w:t>
      </w:r>
      <w:r>
        <w:t xml:space="preserve"> </w:t>
      </w:r>
      <w:r>
        <w:rPr>
          <w:i/>
        </w:rPr>
        <w:t xml:space="preserve">corporateIdentity.sty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9" w:name="sec:Corporatecls"/>
      <w:r>
        <w:t xml:space="preserve">Corporate style files</w:t>
      </w:r>
      <w:bookmarkEnd w:id="29"/>
    </w:p>
    <w:p>
      <w:pPr>
        <w:pStyle w:val="FirstParagraph"/>
      </w:pPr>
      <w:r>
        <w:t xml:space="preserve">Style files control the formatting and presentation of LaTeXdocuments. These are available as</w:t>
      </w:r>
      <w:r>
        <w:t xml:space="preserve"> </w:t>
      </w:r>
      <w:r>
        <w:rPr>
          <w:i/>
        </w:rPr>
        <w:t xml:space="preserve">.sty</w:t>
      </w:r>
      <w:r>
        <w:t xml:space="preserve"> </w:t>
      </w:r>
      <w:r>
        <w:t xml:space="preserve">files for different journals, institutions, and other applications.</w:t>
      </w:r>
    </w:p>
    <w:p>
      <w:pPr>
        <w:pStyle w:val="BodyText"/>
      </w:pPr>
      <w:r>
        <w:t xml:space="preserve">The</w:t>
      </w:r>
      <w:r>
        <w:t xml:space="preserve"> </w:t>
      </w:r>
      <w:r>
        <w:rPr>
          <w:i/>
        </w:rPr>
        <w:t xml:space="preserve">corporateIdentity.sty</w:t>
      </w:r>
      <w:r>
        <w:t xml:space="preserve"> </w:t>
      </w:r>
      <w:r>
        <w:t xml:space="preserve">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w:t>
      </w:r>
      <w:r>
        <w:t xml:space="preserve"> </w:t>
      </w:r>
      <w:r>
        <w:rPr>
          <w:i/>
        </w:rPr>
        <w:t xml:space="preserve">corporateIdentity</w:t>
      </w:r>
      <w:r>
        <w:t xml:space="preserve"> </w:t>
      </w:r>
      <w:r>
        <w:t xml:space="preserve">style in the preamble:</w:t>
      </w:r>
    </w:p>
    <w:p>
      <w:pPr>
        <w:pStyle w:val="SourceCode"/>
      </w:pPr>
      <w:r>
        <w:rPr>
          <w:rStyle w:val="VerbatimChar"/>
        </w:rPr>
        <w:t xml:space="preserve">\usepackage[option 1 = true, ..., option n= string]{corporateIdentity}</w:t>
      </w:r>
    </w:p>
    <w:p>
      <w:pPr>
        <w:pStyle w:val="FirstParagraph"/>
      </w:pPr>
      <w:r>
        <w:t xml:space="preserve">Options include:</w:t>
      </w:r>
    </w:p>
    <w:p>
      <w:pPr>
        <w:pStyle w:val="DefinitionTerm"/>
      </w:pPr>
      <w:r>
        <w:t xml:space="preserve">blackLinks = true</w:t>
      </w:r>
    </w:p>
    <w:p>
      <w:pPr>
        <w:pStyle w:val="Definition"/>
      </w:pPr>
      <w:r>
        <w:t xml:space="preserve">make all links the same color as the rest of the body text.</w:t>
      </w:r>
    </w:p>
    <w:p>
      <w:pPr>
        <w:pStyle w:val="DefinitionTerm"/>
      </w:pPr>
      <w:r>
        <w:t xml:space="preserve">compactLayout = true</w:t>
      </w:r>
    </w:p>
    <w:p>
      <w:pPr>
        <w:pStyle w:val="Definition"/>
      </w:pPr>
      <w:r>
        <w:t xml:space="preserve">reduce white space around headings and lists.</w:t>
      </w:r>
    </w:p>
    <w:p>
      <w:pPr>
        <w:pStyle w:val="DefinitionTerm"/>
      </w:pPr>
      <w:r>
        <w:t xml:space="preserve">draft = true</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logo = true</w:t>
      </w:r>
    </w:p>
    <w:p>
      <w:pPr>
        <w:pStyle w:val="Definition"/>
      </w:pPr>
      <w:r>
        <w:t xml:space="preserve">show the corporate logo in headers (defaults to true).</w:t>
      </w:r>
    </w:p>
    <w:p>
      <w:pPr>
        <w:pStyle w:val="DefinitionTerm"/>
      </w:pPr>
      <w:r>
        <w:t xml:space="preserve">logoPath = ...</w:t>
      </w:r>
    </w:p>
    <w:p>
      <w:pPr>
        <w:pStyle w:val="Definition"/>
      </w:pPr>
      <w:r>
        <w:t xml:space="preserve">use a specific file for the logo (defaults to</w:t>
      </w:r>
      <w:r>
        <w:t xml:space="preserve"> </w:t>
      </w:r>
      <w:r>
        <w:rPr>
          <w:i/>
        </w:rPr>
        <w:t xml:space="preserve">logo.png</w:t>
      </w:r>
      <w:r>
        <w:t xml:space="preserve">).</w:t>
      </w:r>
    </w:p>
    <w:p>
      <w:pPr>
        <w:pStyle w:val="DefinitionTerm"/>
      </w:pPr>
      <w:r>
        <w:t xml:space="preserve">coverLogoPath = ...</w:t>
      </w:r>
    </w:p>
    <w:p>
      <w:pPr>
        <w:pStyle w:val="Definition"/>
      </w:pPr>
      <w:r>
        <w:t xml:space="preserve">use a specific file for the logo on the front cover of reports (defaults to</w:t>
      </w:r>
      <w:r>
        <w:t xml:space="preserve"> </w:t>
      </w:r>
      <w:r>
        <w:rPr>
          <w:i/>
        </w:rPr>
        <w:t xml:space="preserve">logo_big.png</w:t>
      </w:r>
      <w:r>
        <w:t xml:space="preserve">).</w:t>
      </w:r>
    </w:p>
    <w:p>
      <w:pPr>
        <w:pStyle w:val="FirstParagraph"/>
      </w:pPr>
      <w:r>
        <w:t xml:space="preserve">The</w:t>
      </w:r>
      <w:r>
        <w:t xml:space="preserve"> </w:t>
      </w:r>
      <w:r>
        <w:rPr>
          <w:i/>
        </w:rPr>
        <w:t xml:space="preserve">corporateIdentity</w:t>
      </w:r>
      <w:r>
        <w:t xml:space="preserve"> </w:t>
      </w:r>
      <w:r>
        <w:t xml:space="preserve">style calls the packages listed in Table</w:t>
      </w:r>
      <w:r>
        <w:t xml:space="preserve"> </w:t>
      </w:r>
      <w:hyperlink w:anchor="tab:incpacks">
        <w:r>
          <w:rPr>
            <w:rStyle w:val="Hyperlink"/>
          </w:rPr>
          <w:t xml:space="preserve">[tab:incpacks]</w:t>
        </w:r>
      </w:hyperlink>
      <w:r>
        <w:t xml:space="preserve">. These packages often call other packages in turn, so this is not an exhaustive list.</w:t>
      </w:r>
    </w:p>
    <w:p>
      <w:pPr>
        <w:pStyle w:val="TableCaption"/>
      </w:pPr>
      <w:r>
        <w:t xml:space="preserve">Packages loaded by the</w:t>
      </w:r>
      <w:r>
        <w:t xml:space="preserve"> </w:t>
      </w:r>
      <w:r>
        <w:rPr>
          <w:i/>
        </w:rPr>
        <w:t xml:space="preserve">corporateIdentity</w:t>
      </w:r>
      <w:r>
        <w:t xml:space="preserve"> </w:t>
      </w:r>
      <w:r>
        <w:t xml:space="preserve">style.</w:t>
      </w:r>
    </w:p>
    <w:tbl>
      <w:tblPr>
        <w:tblStyle w:val="Table"/>
        <w:tblW w:type="pct" w:w="0.0"/>
        <w:tblLook w:firstRow="1"/>
        <w:tblCaption w:val="Packages loaded by the corporateIdentity style."/>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30" w:name="sec:NewDocs"/>
      <w:r>
        <w:t xml:space="preserve">Starting new documents</w:t>
      </w:r>
      <w:bookmarkEnd w:id="30"/>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at</w:t>
      </w:r>
      <w:r>
        <w:t xml:space="preserve"> </w:t>
      </w:r>
      <w:hyperlink r:id="rId31">
        <w:r>
          <w:rPr>
            <w:rStyle w:val="Hyperlink"/>
          </w:rPr>
          <w:t xml:space="preserve">https://github.com/AndyClifton/CorporateLatex</w:t>
        </w:r>
      </w:hyperlink>
      <w:r>
        <w:t xml:space="preserve">.</w:t>
      </w:r>
    </w:p>
    <w:p>
      <w:pPr>
        <w:pStyle w:val="Heading2"/>
      </w:pPr>
      <w:bookmarkStart w:id="32" w:name="creating-content"/>
      <w:r>
        <w:t xml:space="preserve">Creating content</w:t>
      </w:r>
      <w:bookmarkEnd w:id="32"/>
    </w:p>
    <w:p>
      <w:pPr>
        <w:pStyle w:val="Heading3"/>
      </w:pPr>
      <w:bookmarkStart w:id="33" w:name="front-main-and-back-matter"/>
      <w:r>
        <w:t xml:space="preserve">Front, main, and back matter</w:t>
      </w:r>
      <w:bookmarkEnd w:id="33"/>
    </w:p>
    <w:p>
      <w:pPr>
        <w:pStyle w:val="FirstParagraph"/>
      </w:pPr>
      <w:r>
        <w:t xml:space="preserve">The</w:t>
      </w:r>
      <w:r>
        <w:t xml:space="preserve"> </w:t>
      </w:r>
      <w:r>
        <w:rPr>
          <w:i/>
        </w:rPr>
        <w:t xml:space="preserve">frontmatter, mainmatter</w:t>
      </w:r>
      <w:r>
        <w:t xml:space="preserve">, and</w:t>
      </w:r>
      <w:r>
        <w:t xml:space="preserve"> </w:t>
      </w:r>
      <w:r>
        <w:rPr>
          <w:i/>
        </w:rPr>
        <w:t xml:space="preserve">backmatter</w:t>
      </w:r>
      <w:r>
        <w:t xml:space="preserve"> </w:t>
      </w:r>
      <w:r>
        <w:t xml:space="preserve">commands can be used to implement different formatting in each of these sections of the document:</w:t>
      </w:r>
    </w:p>
    <w:p>
      <w:pPr>
        <w:pStyle w:val="SourceCode"/>
      </w:pPr>
      <w:r>
        <w:rPr>
          <w:rStyle w:val="VerbatimChar"/>
        </w:rPr>
        <w:t xml:space="preserve">\begin{document}</w:t>
      </w:r>
      <w:r>
        <w:br/>
      </w:r>
      <w:r>
        <w:rPr>
          <w:rStyle w:val="VerbatimChar"/>
        </w:rPr>
        <w:t xml:space="preserve">\maketitle</w:t>
      </w:r>
      <w:r>
        <w:br/>
      </w:r>
      <w:r>
        <w:rPr>
          <w:rStyle w:val="VerbatimChar"/>
        </w:rPr>
        <w:t xml:space="preserve">\frontmatter</w:t>
      </w:r>
      <w:r>
        <w:br/>
      </w:r>
      <w:r>
        <w:rPr>
          <w:rStyle w:val="VerbatimChar"/>
        </w:rPr>
        <w:t xml:space="preserve">% Abstract, Summary, and Foreword chapters or sections</w:t>
      </w:r>
      <w:r>
        <w:br/>
      </w:r>
      <w:r>
        <w:rPr>
          <w:rStyle w:val="VerbatimChar"/>
        </w:rPr>
        <w:t xml:space="preserve">...</w:t>
      </w:r>
      <w:r>
        <w:br/>
      </w:r>
      <w:r>
        <w:rPr>
          <w:rStyle w:val="VerbatimChar"/>
        </w:rPr>
        <w:t xml:space="preserve">\tableofcontents</w:t>
      </w:r>
      <w:r>
        <w:br/>
      </w:r>
      <w:r>
        <w:rPr>
          <w:rStyle w:val="VerbatimChar"/>
        </w:rPr>
        <w:t xml:space="preserve">\clearpage</w:t>
      </w:r>
      <w:r>
        <w:br/>
      </w:r>
      <w:r>
        <w:rPr>
          <w:rStyle w:val="VerbatimChar"/>
        </w:rPr>
        <w:t xml:space="preserve">\listoffigures</w:t>
      </w:r>
      <w:r>
        <w:br/>
      </w:r>
      <w:r>
        <w:rPr>
          <w:rStyle w:val="VerbatimChar"/>
        </w:rPr>
        <w:t xml:space="preserve">\listoftables</w:t>
      </w:r>
      <w:r>
        <w:br/>
      </w:r>
      <w:r>
        <w:rPr>
          <w:rStyle w:val="VerbatimChar"/>
        </w:rPr>
        <w:t xml:space="preserve">\mainmatter</w:t>
      </w:r>
      <w:r>
        <w:br/>
      </w:r>
      <w:r>
        <w:rPr>
          <w:rStyle w:val="VerbatimChar"/>
        </w:rPr>
        <w:t xml:space="preserve">% Main body</w:t>
      </w:r>
      <w:r>
        <w:br/>
      </w:r>
      <w:r>
        <w:rPr>
          <w:rStyle w:val="VerbatimChar"/>
        </w:rPr>
        <w:t xml:space="preserve">...</w:t>
      </w:r>
      <w:r>
        <w:br/>
      </w:r>
      <w:r>
        <w:rPr>
          <w:rStyle w:val="VerbatimChar"/>
        </w:rPr>
        <w:t xml:space="preserve">\backmatter</w:t>
      </w:r>
      <w:r>
        <w:br/>
      </w:r>
      <w:r>
        <w:rPr>
          <w:rStyle w:val="VerbatimChar"/>
        </w:rPr>
        <w:t xml:space="preserve">\end{document}</w:t>
      </w:r>
    </w:p>
    <w:p>
      <w:pPr>
        <w:pStyle w:val="FirstParagraph"/>
      </w:pPr>
      <w:r>
        <w:t xml:space="preserve">The front matter pages, figures, and tables will be numbered using Roman numerals (page i, ii, etc, and Table A, B, C, ...). The first page in the front matter will be numbered as page 3 to allow for cover pages. The main pages, figures, and tables will be numbered using Arabic symbols (1, 2, 3, ...). 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4" w:name="cross-references"/>
      <w:r>
        <w:t xml:space="preserve">Cross references</w:t>
      </w:r>
      <w:bookmarkEnd w:id="34"/>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r>
      <w:r>
        <w:rPr>
          <w:rStyle w:val="VerbatimChar"/>
        </w:rPr>
        <w:t xml:space="preserve">y = mx+c</w:t>
      </w:r>
      <w:r>
        <w:br/>
      </w:r>
      <w:r>
        <w:rPr>
          <w:rStyle w:val="VerbatimChar"/>
        </w:rPr>
        <w:t xml:space="preserve">\label{eqn:line}</w:t>
      </w:r>
      <w:r>
        <w:br/>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5" w:name="floats"/>
      <w:r>
        <w:t xml:space="preserve">Floats</w:t>
      </w:r>
      <w:bookmarkEnd w:id="35"/>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r>
      <w:r>
        <w:rPr>
          <w:rStyle w:val="VerbatimChar"/>
        </w:rPr>
        <w:t xml:space="preserve">\centering</w:t>
      </w:r>
      <w:r>
        <w:br/>
      </w:r>
      <w:r>
        <w:rPr>
          <w:rStyle w:val="VerbatimChar"/>
        </w:rPr>
        <w:t xml:space="preserve">\caption{An example table.}\label{tab:widgets}</w:t>
      </w:r>
      <w:r>
        <w:br/>
      </w:r>
      <w:r>
        <w:rPr>
          <w:rStyle w:val="VerbatimChar"/>
        </w:rPr>
        <w:t xml:space="preserve">\begin{tabular}{lr}</w:t>
      </w:r>
      <w:r>
        <w:br/>
      </w:r>
      <w:r>
        <w:rPr>
          <w:rStyle w:val="VerbatimChar"/>
        </w:rPr>
        <w:t xml:space="preserve">Item &amp; Quantity \\</w:t>
      </w:r>
      <w:r>
        <w:br/>
      </w:r>
      <w:r>
        <w:rPr>
          <w:rStyle w:val="VerbatimChar"/>
        </w:rPr>
        <w:t xml:space="preserve">\hline</w:t>
      </w:r>
      <w:r>
        <w:br/>
      </w:r>
      <w:r>
        <w:rPr>
          <w:rStyle w:val="VerbatimChar"/>
        </w:rPr>
        <w:t xml:space="preserve">Widgets &amp; 42 \\</w:t>
      </w:r>
      <w:r>
        <w:br/>
      </w:r>
      <w:r>
        <w:rPr>
          <w:rStyle w:val="VerbatimChar"/>
        </w:rPr>
        <w:t xml:space="preserve">Gadgets &amp; 13</w:t>
      </w:r>
      <w:r>
        <w:br/>
      </w:r>
      <w:r>
        <w:rPr>
          <w:rStyle w:val="VerbatimChar"/>
        </w:rPr>
        <w:t xml:space="preserve">\end{tabular}</w:t>
      </w:r>
      <w:r>
        <w:br/>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r>
      <w:r>
        <w:rPr>
          <w:rStyle w:val="VerbatimChar"/>
        </w:rPr>
        <w:t xml:space="preserve">\includegraphics[width=\textwidth]{figure's-file-name}</w:t>
      </w:r>
      <w:r>
        <w:br/>
      </w:r>
      <w:r>
        <w:rPr>
          <w:rStyle w:val="VerbatimChar"/>
        </w:rPr>
        <w:t xml:space="preserve">\caption{Caption goes here.}\label{fig:figuresLabel}</w:t>
      </w:r>
      <w:r>
        <w:br/>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r>
      <w:r>
        <w:rPr>
          <w:rStyle w:val="VerbatimChar"/>
        </w:rPr>
        <w:t xml:space="preserve">	\centering</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\includegraphics[height=2in]{../common_files/21206.jpg}</w:t>
      </w:r>
      <w:r>
        <w:br/>
      </w:r>
      <w:r>
        <w:rPr>
          <w:rStyle w:val="VerbatimChar"/>
        </w:rPr>
        <w:t xml:space="preserve">		\caption{Wind turbines at the Forward Wind Energy Center in Fond du Lac and Dodge Counties, Wisconsin. (Photo by Ruth Baranowski / NREL)}\label{fig:21206}</w:t>
      </w:r>
      <w:r>
        <w:br/>
      </w:r>
      <w:r>
        <w:rPr>
          <w:rStyle w:val="VerbatimChar"/>
        </w:rPr>
        <w:t xml:space="preserve">	\end{subfigure}%</w:t>
      </w:r>
      <w:r>
        <w:br/>
      </w:r>
      <w:r>
        <w:rPr>
          <w:rStyle w:val="VerbatimChar"/>
        </w:rPr>
        <w:t xml:space="preserve">        \hfill</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\includegraphics[height=2in]{../common_files/20018.jpg}</w:t>
      </w:r>
      <w:r>
        <w:br/>
      </w:r>
      <w:r>
        <w:rPr>
          <w:rStyle w:val="VerbatimChar"/>
        </w:rPr>
        <w:t xml:space="preserve">		\caption{Aerial view of the National Wind Technology Center. (Photo by Dennis Schroeder / NREL)}\label{fig:20018}</w:t>
      </w:r>
      <w:r>
        <w:br/>
      </w:r>
      <w:r>
        <w:rPr>
          <w:rStyle w:val="VerbatimChar"/>
        </w:rPr>
        <w:t xml:space="preserve">	\end{subfigure}</w:t>
      </w:r>
      <w:r>
        <w:br/>
      </w:r>
      <w:r>
        <w:rPr>
          <w:rStyle w:val="VerbatimChar"/>
        </w:rPr>
        <w:t xml:space="preserve">	\caption{Images}\label{fig:NRELimages}</w:t>
      </w:r>
      <w:r>
        <w:br/>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bookmarkStart w:id="37" w:name="fig:21206"/>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common_files/21206.jpg" id="0" name="Picture"/>
                    <pic:cNvPicPr>
                      <a:picLocks noChangeArrowheads="1" noChangeAspect="1"/>
                    </pic:cNvPicPr>
                  </pic:nvPicPr>
                  <pic:blipFill>
                    <a:blip r:embed="rId36"/>
                    <a:stretch>
                      <a:fillRect/>
                    </a:stretch>
                  </pic:blipFill>
                  <pic:spPr bwMode="auto">
                    <a:xfrm>
                      <a:off x="0" y="0"/>
                      <a:ext cx="2437424" cy="1828800"/>
                    </a:xfrm>
                    <a:prstGeom prst="rect">
                      <a:avLst/>
                    </a:prstGeom>
                    <a:noFill/>
                    <a:ln w="9525">
                      <a:noFill/>
                      <a:headEnd/>
                      <a:tailEnd/>
                    </a:ln>
                  </pic:spPr>
                </pic:pic>
              </a:graphicData>
            </a:graphic>
          </wp:inline>
        </w:drawing>
      </w:r>
      <w:bookmarkEnd w:id="37"/>
    </w:p>
    <w:p>
      <w:pPr>
        <w:pStyle w:val="ImageCaption"/>
      </w:pPr>
      <w:r>
        <w:t xml:space="preserve">Wind turbines at the Forward Wind Energy Center in Fond du Lac and Dodge Counties, Wisconsin. (Photo by Ruth Baranowski / NREL)</w:t>
      </w:r>
    </w:p>
    <w:p>
      <w:pPr>
        <w:pStyle w:val="CaptionedFigure"/>
      </w:pPr>
      <w:bookmarkStart w:id="39" w:name="fig:20018"/>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common_files/20018.jpg" id="0" name="Picture"/>
                    <pic:cNvPicPr>
                      <a:picLocks noChangeArrowheads="1" noChangeAspect="1"/>
                    </pic:cNvPicPr>
                  </pic:nvPicPr>
                  <pic:blipFill>
                    <a:blip r:embed="rId38"/>
                    <a:stretch>
                      <a:fillRect/>
                    </a:stretch>
                  </pic:blipFill>
                  <pic:spPr bwMode="auto">
                    <a:xfrm>
                      <a:off x="0" y="0"/>
                      <a:ext cx="3423513" cy="1828800"/>
                    </a:xfrm>
                    <a:prstGeom prst="rect">
                      <a:avLst/>
                    </a:prstGeom>
                    <a:noFill/>
                    <a:ln w="9525">
                      <a:noFill/>
                      <a:headEnd/>
                      <a:tailEnd/>
                    </a:ln>
                  </pic:spPr>
                </pic:pic>
              </a:graphicData>
            </a:graphic>
          </wp:inline>
        </w:drawing>
      </w:r>
      <w:bookmarkEnd w:id="39"/>
    </w:p>
    <w:p>
      <w:pPr>
        <w:pStyle w:val="ImageCaption"/>
      </w:pPr>
      <w:r>
        <w:t xml:space="preserve">Aerial view of the National Wind Technology Center. (Photo by Dennis Schroeder / NREL)</w:t>
      </w:r>
    </w:p>
    <w:p>
      <w:pPr>
        <w:pStyle w:val="Heading3"/>
      </w:pPr>
      <w:bookmarkStart w:id="40" w:name="Sec:Codes"/>
      <w:r>
        <w:t xml:space="preserve">Including computer code</w:t>
      </w:r>
      <w:bookmarkEnd w:id="40"/>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r>
      <w:r>
        <w:rPr>
          <w:rStyle w:val="VerbatimChar"/>
        </w:rPr>
        <w:t xml:space="preserve">/* Hello world in C* */</w:t>
      </w:r>
      <w:r>
        <w:br/>
      </w:r>
      <w:r>
        <w:br/>
      </w:r>
      <w:r>
        <w:rPr>
          <w:rStyle w:val="VerbatimChar"/>
        </w:rPr>
        <w:t xml:space="preserve">#include &lt;stdio.h&gt;</w:t>
      </w:r>
      <w:r>
        <w:br/>
      </w:r>
      <w:r>
        <w:br/>
      </w:r>
      <w:r>
        <w:rPr>
          <w:rStyle w:val="VerbatimChar"/>
        </w:rPr>
        <w:t xml:space="preserve">main()</w:t>
      </w:r>
      <w:r>
        <w:br/>
      </w:r>
      <w:r>
        <w:rPr>
          <w:rStyle w:val="VerbatimChar"/>
        </w:rPr>
        <w:t xml:space="preserve">{</w:t>
      </w:r>
      <w:r>
        <w:br/>
      </w:r>
      <w:r>
        <w:rPr>
          <w:rStyle w:val="VerbatimChar"/>
        </w:rPr>
        <w:t xml:space="preserve">    printf("Hello World!\n");</w:t>
      </w:r>
      <w:r>
        <w:br/>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41">
        <w:r>
          <w:rPr>
            <w:rStyle w:val="Hyperlink"/>
          </w:rPr>
          <w:t xml:space="preserve">wikibook</w:t>
        </w:r>
      </w:hyperlink>
      <w:r>
        <w:t xml:space="preserve">.</w:t>
      </w:r>
    </w:p>
    <w:p>
      <w:pPr>
        <w:pStyle w:val="Heading3"/>
      </w:pPr>
      <w:bookmarkStart w:id="42" w:name="Sec:Citations"/>
      <w:r>
        <w:t xml:space="preserve">Citations</w:t>
      </w:r>
      <w:bookmarkEnd w:id="42"/>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ilvl w:val="0"/>
          <w:numId w:val="1002"/>
        </w:numPr>
      </w:pPr>
      <w:r>
        <w:rPr>
          <w:rStyle w:val="VerbatimChar"/>
        </w:rPr>
        <w:t xml:space="preserve">\cite{Lamport_1986_a}</w:t>
      </w:r>
      <w:r>
        <w:t xml:space="preserve"> </w:t>
      </w:r>
      <w:r>
        <w:t xml:space="preserve">prints</w:t>
      </w:r>
      <w:r>
        <w:t xml:space="preserve"> </w:t>
      </w:r>
      <w:r>
        <w:t xml:space="preserve">(Lamport 1986)</w:t>
      </w:r>
      <w:r>
        <w:t xml:space="preserve">.</w:t>
      </w:r>
    </w:p>
    <w:p>
      <w:pPr>
        <w:numPr>
          <w:ilvl w:val="0"/>
          <w:numId w:val="1002"/>
        </w:numPr>
      </w:pPr>
      <w:r>
        <w:rPr>
          <w:rStyle w:val="VerbatimChar"/>
        </w:rPr>
        <w:t xml:space="preserve">\citep{Lamport_1986_a}</w:t>
      </w:r>
      <w:r>
        <w:t xml:space="preserve"> </w:t>
      </w:r>
      <w:r>
        <w:t xml:space="preserve">prints</w:t>
      </w:r>
      <w:r>
        <w:t xml:space="preserve"> </w:t>
      </w:r>
      <w:r>
        <w:t xml:space="preserve">(Lamport 1986)</w:t>
      </w:r>
      <w:r>
        <w:t xml:space="preserve">.</w:t>
      </w:r>
    </w:p>
    <w:p>
      <w:pPr>
        <w:numPr>
          <w:ilvl w:val="0"/>
          <w:numId w:val="1002"/>
        </w:numPr>
      </w:pPr>
      <w:r>
        <w:rPr>
          <w:rStyle w:val="VerbatimChar"/>
        </w:rPr>
        <w:t xml:space="preserve">\citet{Lamport_1986_a}</w:t>
      </w:r>
      <w:r>
        <w:t xml:space="preserve"> </w:t>
      </w:r>
      <w:r>
        <w:t xml:space="preserve">prints</w:t>
      </w:r>
      <w:r>
        <w:t xml:space="preserve"> </w:t>
      </w:r>
      <w:r>
        <w:t xml:space="preserve">Lamport (1986)</w:t>
      </w:r>
      <w:r>
        <w:t xml:space="preserve">.</w:t>
      </w:r>
    </w:p>
    <w:p>
      <w:pPr>
        <w:pStyle w:val="FirstParagraph"/>
      </w:pPr>
      <w:r>
        <w:t xml:space="preserve">To cite URLs, use the ’misc’ style. For example, the bibtex entry for</w:t>
      </w:r>
      <w:r>
        <w:t xml:space="preserve"> </w:t>
      </w:r>
      <w:hyperlink r:id="rId43">
        <w:r>
          <w:rPr>
            <w:rStyle w:val="Hyperlink"/>
          </w:rPr>
          <w:t xml:space="preserve">http://tex.stackexchange.com</w:t>
        </w:r>
      </w:hyperlink>
      <w:r>
        <w:t xml:space="preserve"> </w:t>
      </w:r>
      <w:r>
        <w:t xml:space="preserve">(Anon. 2014)</w:t>
      </w:r>
      <w:r>
        <w:t xml:space="preserve"> </w:t>
      </w:r>
      <w:r>
        <w:t xml:space="preserve">looks like this:</w:t>
      </w:r>
    </w:p>
    <w:p>
      <w:pPr>
        <w:pStyle w:val="SourceCode"/>
      </w:pPr>
      <w:r>
        <w:rPr>
          <w:rStyle w:val="VerbatimChar"/>
        </w:rPr>
        <w:t xml:space="preserve">@misc{texstackexchange,</w:t>
      </w:r>
      <w:r>
        <w:br/>
      </w:r>
      <w:r>
        <w:rPr>
          <w:rStyle w:val="VerbatimChar"/>
        </w:rPr>
        <w:t xml:space="preserve">	Author = {Anon.},</w:t>
      </w:r>
      <w:r>
        <w:br/>
      </w:r>
      <w:r>
        <w:rPr>
          <w:rStyle w:val="VerbatimChar"/>
        </w:rPr>
        <w:t xml:space="preserve">	Howpublished = {Accessed July 21, 2014: \url{http://tex.stackexchange.com}},</w:t>
      </w:r>
      <w:r>
        <w:br/>
      </w:r>
      <w:r>
        <w:rPr>
          <w:rStyle w:val="VerbatimChar"/>
        </w:rPr>
        <w:t xml:space="preserve">	Title = {\TeX -- LaTeX Stack Exchange},</w:t>
      </w:r>
      <w:r>
        <w:br/>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(Clifton et al. 2013)</w:t>
      </w:r>
      <w:r>
        <w:t xml:space="preserve">, books</w:t>
      </w:r>
      <w:r>
        <w:t xml:space="preserve"> </w:t>
      </w:r>
      <w:r>
        <w:t xml:space="preserve">(Knuth 1984; Lamport 1986; Turibain 1982)</w:t>
      </w:r>
      <w:r>
        <w:t xml:space="preserve">, technical reports</w:t>
      </w:r>
      <w:r>
        <w:t xml:space="preserve"> </w:t>
      </w:r>
      <w:r>
        <w:t xml:space="preserve">(Other and Nother 2014)</w:t>
      </w:r>
      <w:r>
        <w:t xml:space="preserve">, and URLs</w:t>
      </w:r>
      <w:r>
        <w:t xml:space="preserve"> </w:t>
      </w:r>
      <w:r>
        <w:t xml:space="preserve">(Anon. 2014)</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44" w:name="Sec:Bibliographies"/>
      <w:r>
        <w:t xml:space="preserve">Bibliographies</w:t>
      </w:r>
      <w:bookmarkEnd w:id="44"/>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r>
      <w:r>
        <w:rPr>
          <w:rStyle w:val="VerbatimChar"/>
        </w:rPr>
        <w:t xml:space="preserve">\bibliography{files/bibliography.bib}</w:t>
      </w:r>
      <w:r>
        <w:br/>
      </w:r>
      <w:r>
        <w:rPr>
          <w:rStyle w:val="VerbatimChar"/>
        </w:rPr>
        <w:t xml:space="preserve">...</w:t>
      </w:r>
      <w:r>
        <w:br/>
      </w:r>
      <w:r>
        <w:rPr>
          <w:rStyle w:val="VerbatimChar"/>
        </w:rPr>
        <w:t xml:space="preserve">\begin{document}</w:t>
      </w:r>
      <w:r>
        <w:br/>
      </w:r>
      <w:r>
        <w:rPr>
          <w:rStyle w:val="VerbatimChar"/>
        </w:rPr>
        <w:t xml:space="preserve">...</w:t>
      </w:r>
      <w:r>
        <w:br/>
      </w:r>
      <w:r>
        <w:rPr>
          <w:rStyle w:val="VerbatimChar"/>
        </w:rPr>
        <w:t xml:space="preserve">% insert the bibliography into the document</w:t>
      </w:r>
      <w:r>
        <w:br/>
      </w:r>
      <w:r>
        <w:rPr>
          <w:rStyle w:val="VerbatimChar"/>
        </w:rPr>
        <w:t xml:space="preserve">\cleardoublepage</w:t>
      </w:r>
      <w:r>
        <w:br/>
      </w:r>
      <w:r>
        <w:rPr>
          <w:rStyle w:val="VerbatimChar"/>
        </w:rPr>
        <w:t xml:space="preserve">\label{sec:Bib}</w:t>
      </w:r>
      <w:r>
        <w:br/>
      </w:r>
      <w:r>
        <w:rPr>
          <w:rStyle w:val="VerbatimChar"/>
        </w:rPr>
        <w:t xml:space="preserve">\printbibliography</w:t>
      </w:r>
      <w:r>
        <w:br/>
      </w:r>
      <w:r>
        <w:rPr>
          <w:rStyle w:val="VerbatimChar"/>
        </w:rPr>
        <w:t xml:space="preserve">...</w:t>
      </w:r>
      <w:r>
        <w:br/>
      </w:r>
      <w:r>
        <w:rPr>
          <w:rStyle w:val="VerbatimChar"/>
        </w:rPr>
        <w:t xml:space="preserve">\end{document}</w:t>
      </w:r>
    </w:p>
    <w:p>
      <w:pPr>
        <w:pStyle w:val="FirstParagraph"/>
      </w:pPr>
      <w:r>
        <w:t xml:space="preserve">An example bibliography is included in this document on page .</w:t>
      </w:r>
    </w:p>
    <w:p>
      <w:pPr>
        <w:pStyle w:val="Heading3"/>
      </w:pPr>
      <w:bookmarkStart w:id="45" w:name="footnotes"/>
      <w:r>
        <w:t xml:space="preserve">Footnotes</w:t>
      </w:r>
      <w:bookmarkEnd w:id="45"/>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6"/>
      </w:r>
      <w:r>
        <w:t xml:space="preserve">. Footnotes are numbered in the main matter</w:t>
      </w:r>
      <w:r>
        <w:rPr>
          <w:rStyle w:val="FootnoteReference"/>
        </w:rPr>
        <w:footnoteReference w:id="47"/>
      </w:r>
      <w:r>
        <w:t xml:space="preserve">, and use daggers, etc instead of numers in the appendices.</w:t>
      </w:r>
    </w:p>
    <w:p>
      <w:pPr>
        <w:pStyle w:val="Heading2"/>
      </w:pPr>
      <w:bookmarkStart w:id="48" w:name="sec:FileStructure"/>
      <w:r>
        <w:t xml:space="preserve">Creating a file structure</w:t>
      </w:r>
      <w:bookmarkEnd w:id="48"/>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r>
      <w:r>
        <w:rPr>
          <w:rStyle w:val="VerbatimChar"/>
        </w:rPr>
        <w:t xml:space="preserve">\begin{document}</w:t>
      </w:r>
      <w:r>
        <w:br/>
      </w:r>
      <w:r>
        <w:rPr>
          <w:rStyle w:val="VerbatimChar"/>
        </w:rPr>
        <w:t xml:space="preserve">% content</w:t>
      </w:r>
      <w:r>
        <w:br/>
      </w:r>
      <w:r>
        <w:rPr>
          <w:rStyle w:val="VerbatimChar"/>
        </w:rPr>
        <w:t xml:space="preserve">\input{files/WhatIsLatex}</w:t>
      </w:r>
      <w:r>
        <w:br/>
      </w:r>
      <w:r>
        <w:rPr>
          <w:rStyle w:val="VerbatimChar"/>
        </w:rPr>
        <w:t xml:space="preserve">\input{files/LatexForDocs}</w:t>
      </w:r>
      <w:r>
        <w:br/>
      </w:r>
      <w:r>
        <w:rPr>
          <w:rStyle w:val="VerbatimChar"/>
        </w:rPr>
        <w:t xml:space="preserve">...</w:t>
      </w:r>
    </w:p>
    <w:p>
      <w:pPr>
        <w:pStyle w:val="Heading2"/>
      </w:pPr>
      <w:bookmarkStart w:id="49" w:name="X33d480edc8e535aaaff6d20d5125281c9476af4"/>
      <w:r>
        <w:t xml:space="preserve">Best practice in writing a document in LaTeX</w:t>
      </w:r>
      <w:bookmarkEnd w:id="49"/>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numPr>
          <w:ilvl w:val="0"/>
          <w:numId w:val="1003"/>
        </w:numPr>
        <w:pStyle w:val="Definition"/>
      </w:pPr>
      <w:r>
        <w:t xml:space="preserve">Each new LaTeX document should be placed in it’s own directory.</w:t>
      </w:r>
    </w:p>
    <w:p>
      <w:pPr>
        <w:numPr>
          <w:ilvl w:val="0"/>
          <w:numId w:val="1003"/>
        </w:numPr>
        <w:pStyle w:val="Definition"/>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numPr>
          <w:ilvl w:val="0"/>
          <w:numId w:val="1003"/>
        </w:numPr>
        <w:pStyle w:val="Definition"/>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numPr>
          <w:ilvl w:val="0"/>
          <w:numId w:val="1004"/>
        </w:numPr>
        <w:pStyle w:val="Definition"/>
      </w:pPr>
      <w:r>
        <w:t xml:space="preserve">Don’t throw in lots of</w:t>
      </w:r>
      <w:r>
        <w:t xml:space="preserve"> </w:t>
      </w:r>
      <w:r>
        <w:rPr>
          <w:rStyle w:val="VerbatimChar"/>
        </w:rPr>
        <w:t xml:space="preserve">clearpage</w:t>
      </w:r>
      <w:r>
        <w:t xml:space="preserve">s or other commands to push material around. LaTeX is designed to handle that.</w:t>
      </w:r>
    </w:p>
    <w:p>
      <w:pPr>
        <w:numPr>
          <w:ilvl w:val="0"/>
          <w:numId w:val="1004"/>
        </w:numPr>
        <w:pStyle w:val="Definition"/>
      </w:pPr>
      <w:r>
        <w:t xml:space="preserve">Resist the temptation to add or subtract space, change lengths or do other things to modify the layout.</w:t>
      </w:r>
    </w:p>
    <w:p>
      <w:pPr>
        <w:numPr>
          <w:ilvl w:val="0"/>
          <w:numId w:val="1004"/>
        </w:numPr>
        <w:pStyle w:val="Definition"/>
      </w:pPr>
      <w:r>
        <w:t xml:space="preserve">Write!</w:t>
      </w:r>
    </w:p>
    <w:p>
      <w:pPr>
        <w:pStyle w:val="Heading1"/>
      </w:pPr>
      <w:bookmarkStart w:id="50" w:name="sec:PDFPrep"/>
      <w:r>
        <w:t xml:space="preserve">Preparing high-quality PDFs from LaTeX</w:t>
      </w:r>
      <w:bookmarkEnd w:id="50"/>
    </w:p>
    <w:p>
      <w:pPr>
        <w:pStyle w:val="FirstParagraph"/>
      </w:pPr>
      <w:r>
        <w:t xml:space="preserve">Producing a high-quality PDF from LaTeX may require special steps such as tagging, alt-text, and embedding fonts for documents that will be used with electronic document readers.</w:t>
      </w:r>
    </w:p>
    <w:p>
      <w:pPr>
        <w:pStyle w:val="Heading2"/>
      </w:pPr>
      <w:bookmarkStart w:id="51" w:name="sec:PDFPrep_Tagging"/>
      <w:r>
        <w:t xml:space="preserve">PDF tagging</w:t>
      </w:r>
      <w:bookmarkEnd w:id="51"/>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52"/>
      </w:r>
      <w:r>
        <w:t xml:space="preserve">.</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53" w:name="sec:PDFPrep_PDFx"/>
      <w:r>
        <w:t xml:space="preserve">PDF/A files</w:t>
      </w:r>
      <w:bookmarkEnd w:id="53"/>
    </w:p>
    <w:p>
      <w:pPr>
        <w:pStyle w:val="FirstParagraph"/>
      </w:pPr>
      <w:r>
        <w:t xml:space="preserve">PDF/A documents may be required for some applications. These files can be created using the LaTeX PDFx package.</w:t>
      </w:r>
    </w:p>
    <w:p>
      <w:pPr>
        <w:pStyle w:val="BodyText"/>
      </w:pPr>
      <w:r>
        <w:t xml:space="preserve">To do this, add</w:t>
      </w:r>
      <w:r>
        <w:t xml:space="preserve"> </w:t>
      </w:r>
      <w:r>
        <w:rPr>
          <w:rStyle w:val="VerbatimChar"/>
        </w:rPr>
        <w:t xml:space="preserve">\usepackage[a-1b]{pdfx}</w:t>
      </w:r>
      <w:r>
        <w:t xml:space="preserve"> </w:t>
      </w:r>
      <w:r>
        <w:rPr>
          <w:i/>
        </w:rPr>
        <w:t xml:space="preserve">before</w:t>
      </w:r>
      <w:r>
        <w:t xml:space="preserve"> </w:t>
      </w:r>
      <w:r>
        <w:rPr>
          <w:rStyle w:val="VerbatimChar"/>
        </w:rPr>
        <w:t xml:space="preserve">\usepackage[...]{corporate}</w:t>
      </w:r>
      <w:r>
        <w:t xml:space="preserve">, and a file called</w:t>
      </w:r>
      <w:r>
        <w:t xml:space="preserve"> </w:t>
      </w:r>
      <w:r>
        <w:rPr>
          <w:rStyle w:val="VerbatimChar"/>
        </w:rPr>
        <w:t xml:space="preserve">main.xmpdata</w:t>
      </w:r>
      <w:r>
        <w:t xml:space="preserve"> </w:t>
      </w:r>
      <w:r>
        <w:t xml:space="preserve">with the metadata to the directory where this file is.</w:t>
      </w:r>
    </w:p>
    <w:p>
      <w:pPr>
        <w:pStyle w:val="BodyText"/>
      </w:pPr>
      <w:r>
        <w:t xml:space="preserve">For more details of how to do this, see the tutorial at</w:t>
      </w:r>
      <w:r>
        <w:t xml:space="preserve"> </w:t>
      </w:r>
      <w:hyperlink r:id="rId54">
        <w:r>
          <w:rPr>
            <w:rStyle w:val="Hyperlink"/>
          </w:rPr>
          <w:t xml:space="preserve">https://www.mathstat.dal.ca/ selinger/pdfa/</w:t>
        </w:r>
      </w:hyperlink>
      <w:r>
        <w:t xml:space="preserve">.</w:t>
      </w:r>
    </w:p>
    <w:p>
      <w:pPr>
        <w:pStyle w:val="BodyText"/>
      </w:pPr>
      <w:r>
        <w:t xml:space="preserve">An example of the</w:t>
      </w:r>
      <w:r>
        <w:t xml:space="preserve"> </w:t>
      </w:r>
      <w:r>
        <w:rPr>
          <w:rStyle w:val="VerbatimChar"/>
        </w:rPr>
        <w:t xml:space="preserve">main.xmpdata</w:t>
      </w:r>
      <w:r>
        <w:t xml:space="preserve"> </w:t>
      </w:r>
      <w:r>
        <w:t xml:space="preserve">file is included with the example article.</w:t>
      </w:r>
    </w:p>
    <w:p>
      <w:pPr>
        <w:pStyle w:val="Heading2"/>
      </w:pPr>
      <w:bookmarkStart w:id="55" w:name="sec:PDFPrep_AltText"/>
      <w:r>
        <w:t xml:space="preserve">Alternative text</w:t>
      </w:r>
      <w:bookmarkEnd w:id="55"/>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 For example, passing the pointer over the following equation should reveal a pop-up:</w:t>
      </w:r>
    </w:p>
    <w:p>
      <w:pPr>
        <w:pStyle w:val="BodyText"/>
      </w:pPr>
      <w:r>
        <w:t xml:space="preserve">$$\pdftooltip{a^2+b^2=c^2}{An equation}$$</w:t>
      </w:r>
    </w:p>
    <w:p>
      <w:pPr>
        <w:pStyle w:val="FirstParagraph"/>
      </w:pPr>
      <w:r>
        <w:t xml:space="preserve">Alt text can be added after the PDF is compiled using a PDF editor such as Adobe’s Acrobat Pro. Alternatively – and probably best for ensuring that the final document is what the author intended – it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rStyle w:val="VerbatimChar"/>
        </w:rPr>
        <w:t xml:space="preserve">pdfcomment</w:t>
      </w:r>
      <w:r>
        <w:t xml:space="preserve"> </w:t>
      </w:r>
      <w:r>
        <w:t xml:space="preserve">package. The previous equation was generated using</w:t>
      </w:r>
      <w:r>
        <w:t xml:space="preserve"> </w:t>
      </w:r>
      <w:r>
        <w:rPr>
          <w:rStyle w:val="VerbatimChar"/>
        </w:rPr>
        <w:t xml:space="preserve">\pdftooltip{a^2+b^2=c^2}{An equation}</w:t>
      </w:r>
      <w:r>
        <w:t xml:space="preserve">.</w:t>
      </w:r>
    </w:p>
    <w:p>
      <w:pPr>
        <w:pStyle w:val="BodyText"/>
      </w:pPr>
      <w:r>
        <w:t xml:space="preserve">The same approach can be used to create alt text for images. For example, Figure</w:t>
      </w:r>
      <w:r>
        <w:t xml:space="preserve"> </w:t>
      </w:r>
      <w:hyperlink w:anchor="fig:NRELimagesWithAltText">
        <w:r>
          <w:rPr>
            <w:rStyle w:val="Hyperlink"/>
          </w:rPr>
          <w:t xml:space="preserve">[fig:NRELimagesWithAltText]</w:t>
        </w:r>
      </w:hyperlink>
      <w:r>
        <w:t xml:space="preserve"> </w:t>
      </w:r>
      <w:r>
        <w:t xml:space="preserve">has been labeled with a tool tip.</w:t>
      </w:r>
    </w:p>
    <w:p>
      <w:pPr>
        <w:pStyle w:val="Heading2"/>
      </w:pPr>
      <w:bookmarkStart w:id="56" w:name="sec:PDFPrep_EmbeddedFonts"/>
      <w:r>
        <w:t xml:space="preserve">Embedded fonts</w:t>
      </w:r>
      <w:bookmarkEnd w:id="56"/>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r>
      <w:r>
        <w:rPr>
          <w:rStyle w:val="VerbatimChar"/>
        </w:rPr>
        <w:t xml:space="preserve">\epstopdfDeclareGraphicsRule</w:t>
      </w:r>
      <w:r>
        <w:br/>
      </w:r>
      <w:r>
        <w:rPr>
          <w:rStyle w:val="VerbatimChar"/>
        </w:rPr>
        <w:t xml:space="preserve"> {.eps}{png}{.png}{convert eps:\SourceFile.\SourceExt png:\OutputFile}</w:t>
      </w:r>
      <w:r>
        <w:br/>
      </w:r>
      <w:r>
        <w:rPr>
          <w:rStyle w:val="VerbatimChar"/>
        </w:rPr>
        <w:t xml:space="preserve">\AppendGraphicsExtensions{.png}</w:t>
      </w:r>
    </w:p>
    <w:p>
      <w:pPr>
        <w:pStyle w:val="Heading1"/>
      </w:pPr>
      <w:bookmarkStart w:id="57" w:name="sec:Export"/>
      <w:r>
        <w:t xml:space="preserve">Exporting LaTeX into other formats</w:t>
      </w:r>
      <w:bookmarkEnd w:id="57"/>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8">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59" w:name="acknowledgments"/>
      <w:r>
        <w:t xml:space="preserve">Acknowledgments</w:t>
      </w:r>
      <w:bookmarkEnd w:id="59"/>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(Anon. 2014)</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60" w:name="sec:TheBibliography"/>
      <w:r>
        <w:t xml:space="preserve">[sec:TheBibliography]</w:t>
      </w:r>
      <w:bookmarkEnd w:id="60"/>
    </w:p>
    <w:p>
      <w:pPr>
        <w:pStyle w:val="Heading1"/>
      </w:pPr>
      <w:bookmarkStart w:id="61" w:name="how-to-use-appendices"/>
      <w:r>
        <w:t xml:space="preserve">How to Use Appendices</w:t>
      </w:r>
      <w:bookmarkEnd w:id="61"/>
    </w:p>
    <w:p>
      <w:pPr>
        <w:pStyle w:val="FirstParagraph"/>
      </w:pPr>
      <w:r>
        <w:t xml:space="preserve">The style file also controls the appearance of the appendices.</w:t>
      </w:r>
    </w:p>
    <w:p>
      <w:pPr>
        <w:pStyle w:val="Heading2"/>
      </w:pPr>
      <w:bookmarkStart w:id="62" w:name="how-to-switch-to-appendixes"/>
      <w:r>
        <w:t xml:space="preserve">How to switch to appendixes</w:t>
      </w:r>
      <w:bookmarkEnd w:id="62"/>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r>
      <w:r>
        <w:rPr>
          <w:rStyle w:val="VerbatimChar"/>
        </w:rPr>
        <w:t xml:space="preserve">\input{files/AppendixA}</w:t>
      </w:r>
      <w:r>
        <w:br/>
      </w:r>
      <w:r>
        <w:rPr>
          <w:rStyle w:val="VerbatimChar"/>
        </w:rPr>
        <w:t xml:space="preserve">\input{files/AppendixB}</w:t>
      </w:r>
    </w:p>
    <w:p>
      <w:pPr>
        <w:pStyle w:val="Heading2"/>
      </w:pPr>
      <w:bookmarkStart w:id="63" w:name="X5e1f6dd68202c2cc4d3fe786581f9bddaf8e219"/>
      <w:r>
        <w:t xml:space="preserve">Changes to Figure, Table, and Footnote Numbering</w:t>
      </w:r>
      <w:bookmarkEnd w:id="63"/>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64"/>
      </w:r>
      <w:r>
        <w:t xml:space="preserve">.</w:t>
      </w:r>
    </w:p>
    <w:p>
      <w:pPr>
        <w:pStyle w:val="Heading1"/>
      </w:pPr>
      <w:bookmarkStart w:id="65" w:name="including-multiple-appendices"/>
      <w:r>
        <w:t xml:space="preserve">Including Multiple Appendices</w:t>
      </w:r>
      <w:bookmarkEnd w:id="65"/>
    </w:p>
    <w:p>
      <w:pPr>
        <w:pStyle w:val="FirstParagraph"/>
      </w:pPr>
      <w:r>
        <w:t xml:space="preserve">This chapter is included to demonstrate that the style file correctly formats a second appendix</w:t>
      </w:r>
      <w:r>
        <w:rPr>
          <w:rStyle w:val="FootnoteReference"/>
        </w:rPr>
        <w:footnoteReference w:id="66"/>
      </w:r>
      <w:r>
        <w:t xml:space="preserve">.</w:t>
      </w:r>
    </w:p>
    <w:p>
      <w:pPr>
        <w:pStyle w:val="Heading2"/>
      </w:pPr>
      <w:bookmarkStart w:id="67" w:name="changes-to-numbering"/>
      <w:r>
        <w:t xml:space="preserve">Changes to numbering</w:t>
      </w:r>
      <w:bookmarkEnd w:id="67"/>
    </w:p>
    <w:p>
      <w:pPr>
        <w:pStyle w:val="FirstParagraph"/>
      </w:pPr>
      <w:r>
        <w:t xml:space="preserve">The following table (Table</w:t>
      </w:r>
      <w:r>
        <w:t xml:space="preserve"> </w:t>
      </w:r>
      <w:hyperlink w:anchor="tab:AppBWidgets">
        <w:r>
          <w:rPr>
            <w:rStyle w:val="Hyperlink"/>
          </w:rPr>
          <w:t xml:space="preserve">[tab:AppBWidgets]</w:t>
        </w:r>
      </w:hyperlink>
      <w:r>
        <w:t xml:space="preserve">) caption should have a different numbering style than Table</w:t>
      </w:r>
      <w:r>
        <w:t xml:space="preserve"> </w:t>
      </w:r>
      <w:hyperlink w:anchor="tab:widgets">
        <w:r>
          <w:rPr>
            <w:rStyle w:val="Hyperlink"/>
          </w:rPr>
          <w:t xml:space="preserve">[tab:widgets]</w:t>
        </w:r>
      </w:hyperlink>
      <w:r>
        <w:t xml:space="preserve">. Instead, the caption numbering style should be the same as Table</w:t>
      </w:r>
      <w:r>
        <w:t xml:space="preserve"> </w:t>
      </w:r>
      <w:hyperlink w:anchor="tab:AppAWidgets">
        <w:r>
          <w:rPr>
            <w:rStyle w:val="Hyperlink"/>
          </w:rPr>
          <w:t xml:space="preserve">[tab:AppAWidgets]</w:t>
        </w:r>
      </w:hyperlink>
      <w:r>
        <w:t xml:space="preserve">. Numbering in this chapter should start with .</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bookmarkStart w:id="76" w:name="refs"/>
    <w:bookmarkStart w:id="68" w:name="ref-texstackexchange"/>
    <w:p>
      <w:pPr>
        <w:pStyle w:val="Bibliography"/>
      </w:pPr>
      <w:r>
        <w:t xml:space="preserve">Anon. 2014. “TeX– Latexstack Exchange.” Accessed July 21, 2014:</w:t>
      </w:r>
      <w:r>
        <w:t xml:space="preserve"> </w:t>
      </w:r>
      <w:hyperlink r:id="rId43">
        <w:r>
          <w:rPr>
            <w:rStyle w:val="Hyperlink"/>
          </w:rPr>
          <w:t xml:space="preserve">http://tex.stackexchange.com</w:t>
        </w:r>
      </w:hyperlink>
      <w:r>
        <w:t xml:space="preserve">.</w:t>
      </w:r>
    </w:p>
    <w:bookmarkEnd w:id="68"/>
    <w:bookmarkStart w:id="70" w:name="ref-Clifton_2013_a"/>
    <w:p>
      <w:pPr>
        <w:pStyle w:val="Bibliography"/>
      </w:pPr>
      <w:r>
        <w:t xml:space="preserve">Clifton, A., L. Kilcher, J. K. Lundquist, and P. Fleming. 2013. “Using Machine Learning to Predict Wind Turbine Power Output.”</w:t>
      </w:r>
      <w:r>
        <w:t xml:space="preserve"> </w:t>
      </w:r>
      <w:r>
        <w:rPr>
          <w:i/>
        </w:rPr>
        <w:t xml:space="preserve">Environmental Research Letters</w:t>
      </w:r>
      <w:r>
        <w:t xml:space="preserve"> </w:t>
      </w:r>
      <w:r>
        <w:t xml:space="preserve">8 (2): 024009.</w:t>
      </w:r>
      <w:r>
        <w:t xml:space="preserve"> </w:t>
      </w:r>
      <w:hyperlink r:id="rId69">
        <w:r>
          <w:rPr>
            <w:rStyle w:val="Hyperlink"/>
          </w:rPr>
          <w:t xml:space="preserve">https://doi.org/10.1088/1748-9326/8/2/024009</w:t>
        </w:r>
      </w:hyperlink>
      <w:r>
        <w:t xml:space="preserve">.</w:t>
      </w:r>
    </w:p>
    <w:bookmarkEnd w:id="70"/>
    <w:bookmarkStart w:id="71" w:name="ref-Knuth_1984_a"/>
    <w:p>
      <w:pPr>
        <w:pStyle w:val="Bibliography"/>
      </w:pPr>
      <w:r>
        <w:t xml:space="preserve">Knuth, Donald E. 1984.</w:t>
      </w:r>
      <w:r>
        <w:t xml:space="preserve"> </w:t>
      </w:r>
      <w:r>
        <w:rPr>
          <w:i/>
        </w:rPr>
        <w:t xml:space="preserve">The TeXbook</w:t>
      </w:r>
      <w:r>
        <w:t xml:space="preserve">. Addison-Wesley.</w:t>
      </w:r>
    </w:p>
    <w:bookmarkEnd w:id="71"/>
    <w:bookmarkStart w:id="72" w:name="ref-Lamport_1986_a"/>
    <w:p>
      <w:pPr>
        <w:pStyle w:val="Bibliography"/>
      </w:pPr>
      <w:r>
        <w:t xml:space="preserve">Lamport, Leslie. 1986.</w:t>
      </w:r>
      <w:r>
        <w:t xml:space="preserve"> </w:t>
      </w:r>
      <w:r>
        <w:rPr>
          <w:i/>
        </w:rPr>
        <w:t xml:space="preserve">LaTeX</w:t>
      </w:r>
      <w:r>
        <w:rPr>
          <w:i/>
        </w:rPr>
        <w:t xml:space="preserve">:</w:t>
      </w:r>
      <w:r>
        <w:rPr>
          <w:i/>
        </w:rPr>
        <w:t xml:space="preserve"> </w:t>
      </w:r>
      <w:r>
        <w:rPr>
          <w:i/>
        </w:rPr>
        <w:t xml:space="preserve">A Document Preparation System</w:t>
      </w:r>
      <w:r>
        <w:t xml:space="preserve">. Addison-Wesley.</w:t>
      </w:r>
    </w:p>
    <w:bookmarkEnd w:id="72"/>
    <w:bookmarkStart w:id="74" w:name="ref-TechReportTest"/>
    <w:p>
      <w:pPr>
        <w:pStyle w:val="Bibliography"/>
      </w:pPr>
      <w:r>
        <w:t xml:space="preserve">Other, A. N., and Y. A. Nother. 2014. “A Technical Report.” A Very Important Laboratory; Accessed July 21, 2014:</w:t>
      </w:r>
      <w:r>
        <w:t xml:space="preserve"> </w:t>
      </w:r>
      <w:hyperlink r:id="rId73">
        <w:r>
          <w:rPr>
            <w:rStyle w:val="Hyperlink"/>
          </w:rPr>
          <w:t xml:space="preserve">http:www.example.com</w:t>
        </w:r>
      </w:hyperlink>
      <w:r>
        <w:t xml:space="preserve">.</w:t>
      </w:r>
    </w:p>
    <w:bookmarkEnd w:id="74"/>
    <w:bookmarkStart w:id="75" w:name="ref-chicago"/>
    <w:p>
      <w:pPr>
        <w:pStyle w:val="Bibliography"/>
      </w:pPr>
      <w:r>
        <w:t xml:space="preserve">Turibain. 1982.</w:t>
      </w:r>
      <w:r>
        <w:t xml:space="preserve"> </w:t>
      </w:r>
      <w:r>
        <w:rPr>
          <w:i/>
        </w:rPr>
        <w:t xml:space="preserve">The Chicago Manual of Style</w:t>
      </w:r>
      <w:r>
        <w:t xml:space="preserve">. Thirteenth. University of Chicago Press.</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like this</w:t>
      </w:r>
    </w:p>
  </w:footnote>
  <w:footnote w:id="47">
    <w:p>
      <w:pPr>
        <w:pStyle w:val="FootnoteText"/>
      </w:pPr>
      <w:r>
        <w:rPr>
          <w:rStyle w:val="FootnoteReference"/>
        </w:rPr>
        <w:footnoteRef/>
      </w:r>
      <w:r>
        <w:t xml:space="preserve"> </w:t>
      </w:r>
      <w:r>
        <w:t xml:space="preserve">and like this as well</w:t>
      </w:r>
    </w:p>
  </w:footnote>
  <w:footnote w:id="52">
    <w:p>
      <w:pPr>
        <w:pStyle w:val="FootnoteText"/>
      </w:pPr>
      <w:r>
        <w:rPr>
          <w:rStyle w:val="FootnoteReference"/>
        </w:rPr>
        <w:footnoteRef/>
      </w:r>
      <w:r>
        <w:t xml:space="preserve"> </w:t>
      </w:r>
      <w:r>
        <w:t xml:space="preserve">This is a test</w:t>
      </w:r>
    </w:p>
  </w:footnote>
  <w:footnote w:id="64">
    <w:p>
      <w:pPr>
        <w:pStyle w:val="FootnoteText"/>
      </w:pPr>
      <w:r>
        <w:rPr>
          <w:rStyle w:val="FootnoteReference"/>
        </w:rPr>
        <w:footnoteRef/>
      </w:r>
      <w:r>
        <w:t xml:space="preserve"> </w:t>
      </w:r>
      <w:r>
        <w:t xml:space="preserve">this is a test</w:t>
      </w:r>
    </w:p>
  </w:footnote>
  <w:footnote w:id="66">
    <w:p>
      <w:pPr>
        <w:pStyle w:val="FootnoteText"/>
      </w:pPr>
      <w:r>
        <w:rPr>
          <w:rStyle w:val="FootnoteReference"/>
        </w:rPr>
        <w:footnoteRef/>
      </w:r>
      <w:r>
        <w:t xml:space="preserve"> </w:t>
      </w:r>
      <w:r>
        <w:t xml:space="preserve">this is also a test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2020-02-07T19:18:14Z</dcterms:created>
  <dcterms:modified xsi:type="dcterms:W3CDTF">2020-02-07T19:18:14Z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