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47B62" w14:textId="77777777" w:rsidR="00647ECA" w:rsidRPr="00F07061" w:rsidRDefault="00647ECA" w:rsidP="00647ECA">
      <w:pPr>
        <w:spacing w:line="240" w:lineRule="exact"/>
        <w:ind w:left="-810"/>
        <w:outlineLvl w:val="0"/>
        <w:rPr>
          <w:rFonts w:ascii="Times New Roman" w:hAnsi="Times New Roman" w:cs="Times New Roman"/>
          <w:i w:val="0"/>
          <w:color w:val="000000" w:themeColor="text1"/>
          <w:spacing w:val="5"/>
        </w:rPr>
      </w:pPr>
      <w:r w:rsidRPr="00F07061">
        <w:rPr>
          <w:rFonts w:ascii="Times New Roman" w:hAnsi="Times New Roman" w:cs="Times New Roman"/>
          <w:i w:val="0"/>
          <w:color w:val="000000" w:themeColor="text1"/>
          <w:spacing w:val="-11"/>
        </w:rPr>
        <w:t>PART</w:t>
      </w:r>
      <w:r w:rsidRPr="00F07061">
        <w:rPr>
          <w:rFonts w:ascii="Times New Roman" w:hAnsi="Times New Roman" w:cs="Times New Roman"/>
          <w:i w:val="0"/>
          <w:color w:val="000000" w:themeColor="text1"/>
          <w:spacing w:val="5"/>
        </w:rPr>
        <w:t xml:space="preserve"> III</w:t>
      </w:r>
    </w:p>
    <w:p w14:paraId="267E4EEC" w14:textId="77777777" w:rsidR="00647ECA" w:rsidRPr="00F07061" w:rsidRDefault="00647ECA" w:rsidP="00647ECA">
      <w:pPr>
        <w:spacing w:line="240" w:lineRule="exact"/>
        <w:ind w:left="-810"/>
        <w:outlineLvl w:val="0"/>
        <w:rPr>
          <w:rFonts w:ascii="Times New Roman" w:hAnsi="Times New Roman" w:cs="Times New Roman"/>
          <w:i w:val="0"/>
          <w:color w:val="000000" w:themeColor="text1"/>
          <w:spacing w:val="-1"/>
        </w:rPr>
      </w:pPr>
      <w:r w:rsidRPr="00F07061">
        <w:rPr>
          <w:rFonts w:ascii="Times New Roman" w:hAnsi="Times New Roman" w:cs="Times New Roman"/>
          <w:i w:val="0"/>
          <w:color w:val="000000" w:themeColor="text1"/>
          <w:spacing w:val="-1"/>
        </w:rPr>
        <w:t>FINANCIAL INFORMATION</w:t>
      </w:r>
    </w:p>
    <w:p w14:paraId="56A671EC" w14:textId="77777777" w:rsidR="00647ECA" w:rsidRPr="00F07061" w:rsidRDefault="00647ECA" w:rsidP="00647ECA">
      <w:pPr>
        <w:spacing w:line="240" w:lineRule="exact"/>
        <w:ind w:left="-810"/>
        <w:outlineLvl w:val="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000000" w:themeColor="text1"/>
        </w:rPr>
        <w:t>David Lloyd Adventure Parks l</w:t>
      </w:r>
      <w:r w:rsidRPr="00F07061">
        <w:rPr>
          <w:rFonts w:ascii="Times New Roman" w:hAnsi="Times New Roman" w:cs="Times New Roman"/>
          <w:b/>
          <w:i w:val="0"/>
          <w:color w:val="000000" w:themeColor="text1"/>
        </w:rPr>
        <w:t>eisure venues</w:t>
      </w:r>
    </w:p>
    <w:p w14:paraId="4A6D61CC" w14:textId="77777777" w:rsidR="00647ECA" w:rsidRPr="00F07061" w:rsidRDefault="00647ECA" w:rsidP="00647ECA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The com</w:t>
      </w:r>
      <w:r>
        <w:rPr>
          <w:rFonts w:ascii="Times New Roman" w:hAnsi="Times New Roman" w:cs="Times New Roman"/>
          <w:i w:val="0"/>
          <w:color w:val="000000" w:themeColor="text1"/>
        </w:rPr>
        <w:t>pany will develop twelve</w:t>
      </w: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sites over a 4-year period and monitor progress during the development phase. During this phase Return on Capital Employ</w:t>
      </w:r>
      <w:r>
        <w:rPr>
          <w:rFonts w:ascii="Times New Roman" w:hAnsi="Times New Roman" w:cs="Times New Roman"/>
          <w:i w:val="0"/>
          <w:color w:val="000000" w:themeColor="text1"/>
        </w:rPr>
        <w:t>ed varies between 25 and 62.3% pa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, assuming a 60% gearing.</w:t>
      </w:r>
    </w:p>
    <w:p w14:paraId="614D9AA3" w14:textId="77777777" w:rsidR="00647ECA" w:rsidRPr="00F07061" w:rsidRDefault="00647ECA" w:rsidP="00647ECA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During </w:t>
      </w:r>
      <w:r>
        <w:rPr>
          <w:rFonts w:ascii="Times New Roman" w:hAnsi="Times New Roman" w:cs="Times New Roman"/>
          <w:i w:val="0"/>
          <w:color w:val="000000" w:themeColor="text1"/>
        </w:rPr>
        <w:t>the mature phase ROCE drops to 20.8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%, and at this point, the company will decide either to continue to develop more sites in the UK and Europe, or it will return capital to shareholders.</w:t>
      </w:r>
    </w:p>
    <w:p w14:paraId="79323CA6" w14:textId="77777777" w:rsidR="00647ECA" w:rsidRPr="00F07061" w:rsidRDefault="00647ECA" w:rsidP="00647ECA">
      <w:pPr>
        <w:spacing w:line="240" w:lineRule="exact"/>
        <w:ind w:left="-810"/>
        <w:outlineLvl w:val="0"/>
        <w:rPr>
          <w:rFonts w:ascii="Times New Roman" w:hAnsi="Times New Roman" w:cs="Times New Roman"/>
          <w:b/>
          <w:i w:val="0"/>
          <w:color w:val="000000" w:themeColor="text1"/>
          <w:spacing w:val="-11"/>
        </w:rPr>
      </w:pPr>
      <w:r w:rsidRPr="00F07061">
        <w:rPr>
          <w:rFonts w:ascii="Times New Roman" w:hAnsi="Times New Roman" w:cs="Times New Roman"/>
          <w:b/>
          <w:i w:val="0"/>
          <w:color w:val="000000" w:themeColor="text1"/>
          <w:spacing w:val="-11"/>
        </w:rPr>
        <w:t>£ Millions - rounded</w:t>
      </w:r>
      <w:r w:rsidRPr="00F07061">
        <w:rPr>
          <w:rFonts w:ascii="Times New Roman" w:hAnsi="Times New Roman" w:cs="Times New Roman"/>
          <w:b/>
          <w:i w:val="0"/>
          <w:color w:val="000000" w:themeColor="text1"/>
          <w:spacing w:val="-11"/>
        </w:rPr>
        <w:tab/>
      </w:r>
      <w:r w:rsidRPr="00F07061">
        <w:rPr>
          <w:rFonts w:ascii="Times New Roman" w:hAnsi="Times New Roman" w:cs="Times New Roman"/>
          <w:b/>
          <w:i w:val="0"/>
          <w:color w:val="000000" w:themeColor="text1"/>
          <w:spacing w:val="-11"/>
        </w:rPr>
        <w:tab/>
      </w:r>
      <w:r w:rsidRPr="00F07061">
        <w:rPr>
          <w:rFonts w:ascii="Times New Roman" w:hAnsi="Times New Roman" w:cs="Times New Roman"/>
          <w:b/>
          <w:i w:val="0"/>
          <w:color w:val="000000" w:themeColor="text1"/>
          <w:spacing w:val="-11"/>
        </w:rPr>
        <w:tab/>
      </w:r>
      <w:r w:rsidRPr="00F07061">
        <w:rPr>
          <w:rFonts w:ascii="Times New Roman" w:hAnsi="Times New Roman" w:cs="Times New Roman"/>
          <w:b/>
          <w:i w:val="0"/>
          <w:color w:val="000000" w:themeColor="text1"/>
          <w:spacing w:val="-11"/>
        </w:rPr>
        <w:tab/>
        <w:t>2016/7</w:t>
      </w:r>
      <w:r w:rsidRPr="00F07061">
        <w:rPr>
          <w:rFonts w:ascii="Times New Roman" w:hAnsi="Times New Roman" w:cs="Times New Roman"/>
          <w:b/>
          <w:i w:val="0"/>
          <w:color w:val="000000" w:themeColor="text1"/>
          <w:spacing w:val="-11"/>
        </w:rPr>
        <w:tab/>
        <w:t>2017/8</w:t>
      </w:r>
      <w:r w:rsidRPr="00F07061">
        <w:rPr>
          <w:rFonts w:ascii="Times New Roman" w:hAnsi="Times New Roman" w:cs="Times New Roman"/>
          <w:b/>
          <w:i w:val="0"/>
          <w:color w:val="000000" w:themeColor="text1"/>
          <w:spacing w:val="-11"/>
        </w:rPr>
        <w:tab/>
        <w:t>2018/9</w:t>
      </w:r>
      <w:r w:rsidRPr="00F07061">
        <w:rPr>
          <w:rFonts w:ascii="Times New Roman" w:hAnsi="Times New Roman" w:cs="Times New Roman"/>
          <w:b/>
          <w:i w:val="0"/>
          <w:color w:val="000000" w:themeColor="text1"/>
          <w:spacing w:val="-11"/>
        </w:rPr>
        <w:tab/>
        <w:t>2019/20</w:t>
      </w:r>
      <w:r w:rsidRPr="00F07061">
        <w:rPr>
          <w:rFonts w:ascii="Times New Roman" w:hAnsi="Times New Roman" w:cs="Times New Roman"/>
          <w:b/>
          <w:i w:val="0"/>
          <w:color w:val="000000" w:themeColor="text1"/>
          <w:spacing w:val="-11"/>
        </w:rPr>
        <w:tab/>
        <w:t>2020/1</w:t>
      </w:r>
      <w:r w:rsidRPr="00F07061">
        <w:rPr>
          <w:rFonts w:ascii="Times New Roman" w:hAnsi="Times New Roman" w:cs="Times New Roman"/>
          <w:b/>
          <w:i w:val="0"/>
          <w:color w:val="000000" w:themeColor="text1"/>
          <w:spacing w:val="-11"/>
        </w:rPr>
        <w:tab/>
        <w:t>2021/2</w:t>
      </w:r>
    </w:p>
    <w:p w14:paraId="174D998E" w14:textId="77777777" w:rsidR="00647ECA" w:rsidRPr="00F07061" w:rsidRDefault="00647ECA" w:rsidP="00647ECA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Revenue - rent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0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0.5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2.0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3.2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5.1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5.9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</w:p>
    <w:p w14:paraId="170889C5" w14:textId="77777777" w:rsidR="00647ECA" w:rsidRPr="00F07061" w:rsidRDefault="00647ECA" w:rsidP="00647ECA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Net Income incl. planning gain 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0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0.5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12.0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9.4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15.0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17.1</w:t>
      </w:r>
    </w:p>
    <w:p w14:paraId="3D9A1259" w14:textId="77777777" w:rsidR="00647ECA" w:rsidRPr="00F07061" w:rsidRDefault="00647ECA" w:rsidP="00647ECA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EBITDA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</w:p>
    <w:p w14:paraId="5ABEBA9F" w14:textId="77777777" w:rsidR="00647ECA" w:rsidRPr="00F07061" w:rsidRDefault="00647ECA" w:rsidP="00647ECA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Profit before Tax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0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0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10.5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7.7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12.7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14.5</w:t>
      </w:r>
    </w:p>
    <w:p w14:paraId="620A3AE1" w14:textId="77777777" w:rsidR="00647ECA" w:rsidRPr="00F07061" w:rsidRDefault="00647ECA" w:rsidP="00647ECA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Re-valuation Reserve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0.6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3.0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19.1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30.2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47.9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62.2</w:t>
      </w:r>
    </w:p>
    <w:p w14:paraId="3D81B0C4" w14:textId="77777777" w:rsidR="00647ECA" w:rsidRPr="00F07061" w:rsidRDefault="00647ECA" w:rsidP="00647ECA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Shareholders’ Funds (Net Assets)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0.6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8.9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23.6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37.8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55.8</w:t>
      </w:r>
      <w:r w:rsidRPr="00F07061">
        <w:rPr>
          <w:rFonts w:ascii="Times New Roman" w:hAnsi="Times New Roman" w:cs="Times New Roman"/>
          <w:i w:val="0"/>
          <w:color w:val="000000" w:themeColor="text1"/>
        </w:rPr>
        <w:tab/>
        <w:t>70.5</w:t>
      </w:r>
    </w:p>
    <w:p w14:paraId="33671FAD" w14:textId="77777777" w:rsidR="00583BFC" w:rsidRDefault="00672414"/>
    <w:p w14:paraId="593A2A67" w14:textId="77777777" w:rsidR="00672414" w:rsidRDefault="00672414"/>
    <w:p w14:paraId="7BE61FE5" w14:textId="77777777" w:rsidR="00672414" w:rsidRPr="00F07061" w:rsidRDefault="00672414" w:rsidP="00672414">
      <w:pPr>
        <w:spacing w:line="240" w:lineRule="exact"/>
        <w:ind w:left="-810"/>
        <w:outlineLvl w:val="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b/>
          <w:i w:val="0"/>
          <w:color w:val="000000" w:themeColor="text1"/>
        </w:rPr>
        <w:t>SHARE CAPITAL OF THE COMPANY</w:t>
      </w:r>
    </w:p>
    <w:p w14:paraId="4662A135" w14:textId="77777777" w:rsidR="00672414" w:rsidRPr="00F07061" w:rsidRDefault="00672414" w:rsidP="00672414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The Company’s authorised and iss</w:t>
      </w:r>
      <w:r>
        <w:rPr>
          <w:rFonts w:ascii="Times New Roman" w:hAnsi="Times New Roman" w:cs="Times New Roman"/>
          <w:i w:val="0"/>
          <w:color w:val="000000" w:themeColor="text1"/>
        </w:rPr>
        <w:t>u</w:t>
      </w:r>
      <w:r w:rsidRPr="00F07061">
        <w:rPr>
          <w:rFonts w:ascii="Times New Roman" w:hAnsi="Times New Roman" w:cs="Times New Roman"/>
          <w:i w:val="0"/>
          <w:color w:val="000000" w:themeColor="text1"/>
        </w:rPr>
        <w:t>ed capital is, at the date of this Document, and will be on Admission, as follows:</w:t>
      </w:r>
    </w:p>
    <w:p w14:paraId="50CF4266" w14:textId="77777777" w:rsidR="00672414" w:rsidRPr="00F07061" w:rsidRDefault="00672414" w:rsidP="00672414">
      <w:pPr>
        <w:rPr>
          <w:rFonts w:ascii="Times New Roman" w:hAnsi="Times New Roman" w:cs="Times New Roman"/>
          <w:color w:val="000000"/>
        </w:rPr>
      </w:pPr>
    </w:p>
    <w:tbl>
      <w:tblPr>
        <w:tblW w:w="9621" w:type="dxa"/>
        <w:tblInd w:w="-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9"/>
        <w:gridCol w:w="1480"/>
        <w:gridCol w:w="1639"/>
        <w:gridCol w:w="1701"/>
        <w:gridCol w:w="3242"/>
      </w:tblGrid>
      <w:tr w:rsidR="00672414" w:rsidRPr="00F07061" w14:paraId="04F666BA" w14:textId="77777777" w:rsidTr="006E72CC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A331C38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5CE7007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07061">
              <w:rPr>
                <w:rFonts w:ascii="Times New Roman" w:hAnsi="Times New Roman" w:cs="Times New Roman"/>
                <w:b/>
                <w:color w:val="000000"/>
              </w:rPr>
              <w:t>Authorised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6BAC94A8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6CFE23F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07061">
              <w:rPr>
                <w:rFonts w:ascii="Times New Roman" w:hAnsi="Times New Roman" w:cs="Times New Roman"/>
                <w:b/>
                <w:color w:val="000000"/>
              </w:rPr>
              <w:t>Issued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</w:tcPr>
          <w:p w14:paraId="0027766A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672414" w:rsidRPr="00F07061" w14:paraId="22D5525A" w14:textId="77777777" w:rsidTr="006E72CC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BCF931C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54B8175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07061">
              <w:rPr>
                <w:rFonts w:ascii="Times New Roman" w:hAnsi="Times New Roman" w:cs="Times New Roman"/>
                <w:b/>
                <w:color w:val="000000"/>
              </w:rPr>
              <w:t>£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1CB248F0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07061">
              <w:rPr>
                <w:rFonts w:ascii="Times New Roman" w:hAnsi="Times New Roman" w:cs="Times New Roman"/>
                <w:b/>
                <w:color w:val="000000"/>
              </w:rPr>
              <w:t>Number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A4D415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07061">
              <w:rPr>
                <w:rFonts w:ascii="Times New Roman" w:hAnsi="Times New Roman" w:cs="Times New Roman"/>
                <w:b/>
                <w:color w:val="000000"/>
              </w:rPr>
              <w:t>£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</w:tcBorders>
          </w:tcPr>
          <w:p w14:paraId="146932FA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07061">
              <w:rPr>
                <w:rFonts w:ascii="Times New Roman" w:hAnsi="Times New Roman" w:cs="Times New Roman"/>
                <w:b/>
                <w:color w:val="000000"/>
              </w:rPr>
              <w:t>Number</w:t>
            </w:r>
          </w:p>
        </w:tc>
      </w:tr>
      <w:tr w:rsidR="00672414" w:rsidRPr="00F07061" w14:paraId="45D2CFDB" w14:textId="77777777" w:rsidTr="006E72CC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CC4FCA4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07061">
              <w:rPr>
                <w:rFonts w:ascii="Times New Roman" w:hAnsi="Times New Roman" w:cs="Times New Roman"/>
                <w:b/>
                <w:color w:val="000000"/>
              </w:rPr>
              <w:t>Ordinary Shares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C1D1763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  <w:r w:rsidRPr="00F07061">
              <w:rPr>
                <w:rFonts w:ascii="Times New Roman" w:hAnsi="Times New Roman" w:cs="Times New Roman"/>
                <w:color w:val="000000"/>
              </w:rPr>
              <w:t>50,000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63171BE3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  <w:r w:rsidRPr="00F07061">
              <w:rPr>
                <w:rFonts w:ascii="Times New Roman" w:hAnsi="Times New Roman" w:cs="Times New Roman"/>
                <w:color w:val="000000"/>
              </w:rPr>
              <w:t>50,000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895B506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  <w:r w:rsidRPr="00F07061">
              <w:rPr>
                <w:rFonts w:ascii="Times New Roman" w:hAnsi="Times New Roman" w:cs="Times New Roman"/>
                <w:color w:val="000000"/>
              </w:rPr>
              <w:t>50,000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</w:tcPr>
          <w:p w14:paraId="724E6DAF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  <w:r w:rsidRPr="00F07061">
              <w:rPr>
                <w:rFonts w:ascii="Times New Roman" w:hAnsi="Times New Roman" w:cs="Times New Roman"/>
                <w:color w:val="000000"/>
              </w:rPr>
              <w:t>50,000</w:t>
            </w:r>
          </w:p>
        </w:tc>
      </w:tr>
      <w:tr w:rsidR="00672414" w:rsidRPr="00F07061" w14:paraId="766388BA" w14:textId="77777777" w:rsidTr="006E72CC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37CD302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6B7D463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07061">
              <w:rPr>
                <w:rFonts w:ascii="Times New Roman" w:hAnsi="Times New Roman" w:cs="Times New Roman"/>
                <w:b/>
                <w:color w:val="000000"/>
              </w:rPr>
              <w:t>Proposed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755B9993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61FA4C5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07061">
              <w:rPr>
                <w:rFonts w:ascii="Times New Roman" w:hAnsi="Times New Roman" w:cs="Times New Roman"/>
                <w:b/>
                <w:color w:val="000000"/>
              </w:rPr>
              <w:t>Current</w:t>
            </w:r>
          </w:p>
          <w:p w14:paraId="170109E3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</w:tcPr>
          <w:p w14:paraId="1DE507A8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72414" w:rsidRPr="00F07061" w14:paraId="5395B7F6" w14:textId="77777777" w:rsidTr="006E72CC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3813976" w14:textId="77777777" w:rsidR="00672414" w:rsidRPr="00F07061" w:rsidRDefault="00672414" w:rsidP="006E72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07061">
              <w:rPr>
                <w:rFonts w:ascii="Times New Roman" w:hAnsi="Times New Roman" w:cs="Times New Roman"/>
                <w:b/>
                <w:color w:val="000000"/>
              </w:rPr>
              <w:t>Ordinary shares units of £1.00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F86414D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  <w:r w:rsidRPr="00F07061">
              <w:rPr>
                <w:rFonts w:ascii="Times New Roman" w:hAnsi="Times New Roman" w:cs="Times New Roman"/>
                <w:color w:val="000000"/>
              </w:rPr>
              <w:t>[   ]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0C841439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  <w:r w:rsidRPr="00F07061">
              <w:rPr>
                <w:rFonts w:ascii="Times New Roman" w:hAnsi="Times New Roman" w:cs="Times New Roman"/>
                <w:color w:val="000000"/>
              </w:rPr>
              <w:t>[   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2087BE4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  <w:r w:rsidRPr="00F0706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</w:tcPr>
          <w:p w14:paraId="5A85A19C" w14:textId="77777777" w:rsidR="00672414" w:rsidRPr="00F07061" w:rsidRDefault="00672414" w:rsidP="006E72CC">
            <w:pPr>
              <w:rPr>
                <w:rFonts w:ascii="Times New Roman" w:hAnsi="Times New Roman" w:cs="Times New Roman"/>
                <w:color w:val="000000"/>
              </w:rPr>
            </w:pPr>
            <w:r w:rsidRPr="00F0706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</w:tbl>
    <w:p w14:paraId="31BF2D7D" w14:textId="77777777" w:rsidR="00672414" w:rsidRPr="00F07061" w:rsidRDefault="00672414" w:rsidP="00672414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The issued ordinary share capital of the Company is owned as follows:</w:t>
      </w:r>
    </w:p>
    <w:p w14:paraId="0E40D514" w14:textId="77777777" w:rsidR="00672414" w:rsidRPr="00F07061" w:rsidRDefault="00672414" w:rsidP="00672414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No shares of the Company are under option or agreed conditionally or otherwise to be put under option.</w:t>
      </w:r>
    </w:p>
    <w:p w14:paraId="683B0A60" w14:textId="77777777" w:rsidR="00672414" w:rsidRPr="00F07061" w:rsidRDefault="00672414" w:rsidP="00672414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The Ordinary Shares of the Company rank </w:t>
      </w:r>
      <w:proofErr w:type="spellStart"/>
      <w:r w:rsidRPr="00F07061">
        <w:rPr>
          <w:rFonts w:ascii="Times New Roman" w:hAnsi="Times New Roman" w:cs="Times New Roman"/>
          <w:i w:val="0"/>
          <w:color w:val="000000" w:themeColor="text1"/>
        </w:rPr>
        <w:t>pari</w:t>
      </w:r>
      <w:proofErr w:type="spellEnd"/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F07061">
        <w:rPr>
          <w:rFonts w:ascii="Times New Roman" w:hAnsi="Times New Roman" w:cs="Times New Roman"/>
          <w:i w:val="0"/>
          <w:color w:val="000000" w:themeColor="text1"/>
        </w:rPr>
        <w:t>passu</w:t>
      </w:r>
      <w:proofErr w:type="spellEnd"/>
      <w:r w:rsidRPr="00F07061">
        <w:rPr>
          <w:rFonts w:ascii="Times New Roman" w:hAnsi="Times New Roman" w:cs="Times New Roman"/>
          <w:i w:val="0"/>
          <w:color w:val="000000" w:themeColor="text1"/>
        </w:rPr>
        <w:t xml:space="preserve"> in all respects and will rank in full for all dividends and other distributions thereafter declared, made or paid on the ordinary share capital of the company</w:t>
      </w:r>
    </w:p>
    <w:p w14:paraId="3C09E1DD" w14:textId="77777777" w:rsidR="00672414" w:rsidRPr="00F07061" w:rsidRDefault="00672414" w:rsidP="00672414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The principal terms of the Ordinary shares are as follows:</w:t>
      </w:r>
    </w:p>
    <w:p w14:paraId="622A9EB8" w14:textId="77777777" w:rsidR="00672414" w:rsidRPr="00F07061" w:rsidRDefault="00672414" w:rsidP="00672414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t>The Ordinary shares are denominated in amounts of 50 Euro Cents.</w:t>
      </w:r>
    </w:p>
    <w:p w14:paraId="1817E4F8" w14:textId="77777777" w:rsidR="00672414" w:rsidRPr="00F07061" w:rsidRDefault="00672414" w:rsidP="00672414">
      <w:pPr>
        <w:spacing w:line="240" w:lineRule="exact"/>
        <w:ind w:left="-810"/>
        <w:rPr>
          <w:rFonts w:ascii="Times New Roman" w:hAnsi="Times New Roman" w:cs="Times New Roman"/>
          <w:i w:val="0"/>
          <w:color w:val="000000" w:themeColor="text1"/>
        </w:rPr>
      </w:pPr>
      <w:r w:rsidRPr="00F07061">
        <w:rPr>
          <w:rFonts w:ascii="Times New Roman" w:hAnsi="Times New Roman" w:cs="Times New Roman"/>
          <w:i w:val="0"/>
          <w:color w:val="000000" w:themeColor="text1"/>
        </w:rPr>
        <w:lastRenderedPageBreak/>
        <w:t>The Ordinary shares have a minimum raise of £3M, net of expenses.</w:t>
      </w:r>
    </w:p>
    <w:p w14:paraId="277984BD" w14:textId="77777777" w:rsidR="00672414" w:rsidRDefault="00672414">
      <w:bookmarkStart w:id="0" w:name="_GoBack"/>
      <w:bookmarkEnd w:id="0"/>
    </w:p>
    <w:sectPr w:rsidR="00672414" w:rsidSect="001D6B4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CA"/>
    <w:rsid w:val="001D6B42"/>
    <w:rsid w:val="00647ECA"/>
    <w:rsid w:val="00672414"/>
    <w:rsid w:val="00E3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85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ECA"/>
    <w:pPr>
      <w:spacing w:after="200" w:line="288" w:lineRule="auto"/>
    </w:pPr>
    <w:rPr>
      <w:rFonts w:eastAsiaTheme="minorEastAsia"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Macintosh Word</Application>
  <DocSecurity>0</DocSecurity>
  <Lines>12</Lines>
  <Paragraphs>3</Paragraphs>
  <ScaleCrop>false</ScaleCrop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Lacki</dc:creator>
  <cp:keywords/>
  <dc:description/>
  <cp:lastModifiedBy>Nikodem Lacki</cp:lastModifiedBy>
  <cp:revision>2</cp:revision>
  <dcterms:created xsi:type="dcterms:W3CDTF">2016-10-02T13:22:00Z</dcterms:created>
  <dcterms:modified xsi:type="dcterms:W3CDTF">2016-10-02T13:23:00Z</dcterms:modified>
</cp:coreProperties>
</file>