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폰티스형 선교·영리 생태계를 위한 정관·거버넌스 사례 조사</w:t>
      </w:r>
    </w:p>
    <w:p>
      <w:r>
        <w:rPr>
          <w:rFonts w:ascii="Noto Sans KR" w:hAnsi="Noto Sans KR" w:eastAsia="Noto Sans KR"/>
          <w:b w:val="0"/>
          <w:sz w:val="19"/>
        </w:rPr>
        <w:t>작성일: 2026-09-19</w:t>
      </w:r>
    </w:p>
    <w:p>
      <w:r>
        <w:rPr>
          <w:rFonts w:ascii="Noto Sans KR" w:hAnsi="Noto Sans KR" w:eastAsia="Noto Sans KR"/>
          <w:b w:val="0"/>
          <w:sz w:val="19"/>
        </w:rPr>
        <w:t>성격: 공개 자료 조사. 특정 국가의 정관·세법·노동법·종교법 자문은 별도로 받아야 한다.</w:t>
      </w:r>
    </w:p>
    <w:p>
      <w:pPr>
        <w:pStyle w:val="Heading2"/>
      </w:pPr>
      <w:r>
        <w:t>결론 먼저</w:t>
      </w:r>
    </w:p>
    <w:p>
      <w:r>
        <w:rPr>
          <w:rFonts w:ascii="Noto Sans KR" w:hAnsi="Noto Sans KR" w:eastAsia="Noto Sans KR"/>
          <w:b w:val="0"/>
          <w:sz w:val="19"/>
        </w:rPr>
        <w:t>폰티스에 가장 가까운 단일 선례는 찾지 못했다. 예수회는 강한 카리스마와 회칙의 선례이지만, 서약한 수도자 중심이므로 그대로 이식하면 맞지 않는다. 가장 설득력 있는 방향은 다음 네 장치를 한 구조 안에 결합하는 것이다.</w:t>
      </w:r>
    </w:p>
    <w:p>
      <w:pPr>
        <w:ind w:left="173" w:hanging="173"/>
      </w:pPr>
      <w:r>
        <w:rPr>
          <w:rFonts w:ascii="Noto Sans KR" w:hAnsi="Noto Sans KR" w:eastAsia="Noto Sans KR"/>
          <w:b w:val="0"/>
          <w:sz w:val="19"/>
        </w:rPr>
        <w:t>1. 강한 핵: 영성·형성·정체성을 맡는 별도 핵심 공동체. 쇤슈타트의 단계형 참여와 포콜라레의 카리스마 중심이 참고가 된다.</w:t>
      </w:r>
    </w:p>
    <w:p>
      <w:pPr>
        <w:ind w:left="173" w:hanging="173"/>
      </w:pPr>
      <w:r>
        <w:rPr>
          <w:rFonts w:ascii="Noto Sans KR" w:hAnsi="Noto Sans KR" w:eastAsia="Noto Sans KR"/>
          <w:b w:val="0"/>
          <w:sz w:val="19"/>
        </w:rPr>
        <w:t>2. 자율 영리 법인: 에너지·투자·사업 법인은 각자 민사상 이사·주주·고용 책임을 진다. 핵심 공동체의 영적 권위가 회사의 일상 경영권을 자동으로 대체하지 않는다.</w:t>
      </w:r>
    </w:p>
    <w:p>
      <w:pPr>
        <w:ind w:left="173" w:hanging="173"/>
      </w:pPr>
      <w:r>
        <w:rPr>
          <w:rFonts w:ascii="Noto Sans KR" w:hAnsi="Noto Sans KR" w:eastAsia="Noto Sans KR"/>
          <w:b w:val="0"/>
          <w:sz w:val="19"/>
        </w:rPr>
        <w:t>3. 미션 잠금 장치: 정관, 의결권 주식/특수주, 주주협약, 목적신탁·재단 또는 미션 가디언을 통해 매각·합병·정체성 변경을 제한한다.</w:t>
      </w:r>
    </w:p>
    <w:p>
      <w:pPr>
        <w:ind w:left="173" w:hanging="173"/>
      </w:pPr>
      <w:r>
        <w:rPr>
          <w:rFonts w:ascii="Noto Sans KR" w:hAnsi="Noto Sans KR" w:eastAsia="Noto Sans KR"/>
          <w:b w:val="0"/>
          <w:sz w:val="19"/>
        </w:rPr>
        <w:t>4. 형성된 관계망: 핵·직원·투자자·협력자·폭넓은 네트워크를 한 등급으로 취급하지 않는다. 각 층은 참여 기준·권리·퇴장 규칙이 다르다.</w:t>
      </w:r>
    </w:p>
    <w:p>
      <w:r>
        <w:rPr>
          <w:rFonts w:ascii="Noto Sans KR" w:hAnsi="Noto Sans KR" w:eastAsia="Noto Sans KR"/>
          <w:b w:val="0"/>
          <w:sz w:val="19"/>
        </w:rPr>
        <w:t>따라서 폰티스의 핵심 질문은 “누가 지도자에게 순종하는가”가 아니라, 누가 어떤 문서에 따라 영성·자본·사업·사람에 관해 어느 결정을 할 수 있는가다. 강한 영성은 핵심 공동체의 형성으로 지키고, 재산과 고용·계약의 권한은 민사 문서와 독립적 감독으로 통제해야 한다.</w:t>
      </w:r>
    </w:p>
    <w:p>
      <w:pPr>
        <w:pStyle w:val="Heading2"/>
      </w:pPr>
      <w:r>
        <w:t>1. 예수회는 무엇을 주고, 무엇을 주지 않는가</w:t>
      </w:r>
    </w:p>
    <w:p>
      <w:r>
        <w:rPr>
          <w:rFonts w:ascii="Noto Sans KR" w:hAnsi="Noto Sans KR" w:eastAsia="Noto Sans KR"/>
          <w:b w:val="0"/>
          <w:sz w:val="19"/>
        </w:rPr>
        <w:t>가톨릭 교회법상 공법인(public juridic person)은 교회의 이름으로 공적 사명을 수행하도록 설립되며, 정관은 권한 있는 교회의 승인을 받아야 한다. 대표권도 보편법·개별 정관에 따라 정해진다(</w:t>
      </w:r>
      <w:hyperlink r:id="rId10">
        <w:r>
          <w:rPr>
            <w:color w:val="075D99"/>
            <w:u w:val="single"/>
            <w:rFonts w:eastAsia="Noto Sans KR"/>
          </w:rPr>
          <w:t>교회법전 can. 113–118</w:t>
        </w:r>
      </w:hyperlink>
      <w:r>
        <w:rPr>
          <w:rFonts w:ascii="Noto Sans KR" w:hAnsi="Noto Sans KR" w:eastAsia="Noto Sans KR"/>
          <w:b w:val="0"/>
          <w:sz w:val="19"/>
        </w:rPr>
        <w:t>). 수도회는 다시 자체 헌장·회칙(proper law), 장상·평의회·총회·방문·재산 승인 체계로 운영된다(</w:t>
      </w:r>
      <w:hyperlink r:id="rId11">
        <w:r>
          <w:rPr>
            <w:color w:val="075D99"/>
            <w:u w:val="single"/>
            <w:rFonts w:eastAsia="Noto Sans KR"/>
          </w:rPr>
          <w:t>can. 607–709</w:t>
        </w:r>
      </w:hyperlink>
      <w:r>
        <w:rPr>
          <w:rFonts w:ascii="Noto Sans KR" w:hAnsi="Noto Sans KR" w:eastAsia="Noto Sans KR"/>
          <w:b w:val="0"/>
          <w:sz w:val="19"/>
        </w:rPr>
        <w:t>).</w:t>
      </w:r>
    </w:p>
    <w:p>
      <w:r>
        <w:rPr>
          <w:rFonts w:ascii="Noto Sans KR" w:hAnsi="Noto Sans KR" w:eastAsia="Noto Sans KR"/>
          <w:b w:val="0"/>
          <w:sz w:val="19"/>
        </w:rPr>
        <w:t>그러나 교회법은 민사상 회사를 자동으로 지배하지 않는다. 교회법은 계약에 관해 원칙적으로 민법을 같은 효과로 받아들이며(can. 1290), 교회법상 절차가 빠진 처분도 민사상 유효할 수 있음을 전제한다(can. 1296)(</w:t>
      </w:r>
      <w:hyperlink r:id="rId12">
        <w:r>
          <w:rPr>
            <w:color w:val="075D99"/>
            <w:u w:val="single"/>
            <w:rFonts w:eastAsia="Noto Sans KR"/>
          </w:rPr>
          <w:t>교회법전 Book V</w:t>
        </w:r>
      </w:hyperlink>
      <w:r>
        <w:rPr>
          <w:rFonts w:ascii="Noto Sans KR" w:hAnsi="Noto Sans KR" w:eastAsia="Noto Sans KR"/>
          <w:b w:val="0"/>
          <w:sz w:val="19"/>
        </w:rPr>
        <w:t>). 따라서 “교회법이 상법을 초월한다”가 아니라, 교회 내부의 유효성·책임과 민사법상의 유효성·책임이 병렬로 작동한다는 것이 정확하다.</w:t>
      </w:r>
    </w:p>
    <w:p>
      <w:r>
        <w:rPr>
          <w:rFonts w:ascii="Noto Sans KR" w:hAnsi="Noto Sans KR" w:eastAsia="Noto Sans KR"/>
          <w:b w:val="0"/>
          <w:sz w:val="19"/>
        </w:rPr>
        <w:t>예수회와 관련된 민사법인도 그 구별을 보여 준다. 예컨대 미국의 Jesuit School of Theology at Santa Clara University는 캘리포니아 비영리 종교법인이고, 정관은 신학·사제 양성 목적을 두며, 이사회에는 특정 예수회 직위의 이사가 포함된다(</w:t>
      </w:r>
      <w:hyperlink r:id="rId13">
        <w:r>
          <w:rPr>
            <w:color w:val="075D99"/>
            <w:u w:val="single"/>
            <w:rFonts w:eastAsia="Noto Sans KR"/>
          </w:rPr>
          <w:t>정관</w:t>
        </w:r>
      </w:hyperlink>
      <w:r>
        <w:rPr>
          <w:rFonts w:ascii="Noto Sans KR" w:hAnsi="Noto Sans KR" w:eastAsia="Noto Sans KR"/>
          <w:b w:val="0"/>
          <w:sz w:val="19"/>
        </w:rPr>
        <w:t xml:space="preserve">, </w:t>
      </w:r>
      <w:hyperlink r:id="rId14">
        <w:r>
          <w:rPr>
            <w:color w:val="075D99"/>
            <w:u w:val="single"/>
            <w:rFonts w:eastAsia="Noto Sans KR"/>
          </w:rPr>
          <w:t>2022 bylaws</w:t>
        </w:r>
      </w:hyperlink>
      <w:r>
        <w:rPr>
          <w:rFonts w:ascii="Noto Sans KR" w:hAnsi="Noto Sans KR" w:eastAsia="Noto Sans KR"/>
          <w:b w:val="0"/>
          <w:sz w:val="19"/>
        </w:rPr>
        <w:t>). 이는 “핵의 정체성”을 민사 정관과 이사 선임권으로 번역한 사례다. 하지만 수도회 소속·서약·장상 체계를 일반 평신도 직원·투자자에게 적용하는 모델은 아니다.</w:t>
      </w:r>
    </w:p>
    <w:p>
      <w:pPr>
        <w:pStyle w:val="Heading2"/>
      </w:pPr>
      <w:r>
        <w:t>2. 폰티스에 특히 유용한 특이 사례</w:t>
      </w:r>
    </w:p>
    <w:tbl>
      <w:tblPr>
        <w:tblStyle w:val="TableGrid"/>
        <w:tblW w:type="auto" w:w="0"/>
        <w:tblLook w:firstColumn="1" w:firstRow="1" w:lastColumn="0" w:lastRow="0" w:noHBand="0" w:noVBand="1" w:val="04A0"/>
      </w:tblPr>
      <w:tblGrid>
        <w:gridCol w:w="1728"/>
        <w:gridCol w:w="1728"/>
        <w:gridCol w:w="1728"/>
        <w:gridCol w:w="1728"/>
        <w:gridCol w:w="1728"/>
        <w:gridCol w:w="1728"/>
      </w:tblGrid>
      <w:tr>
        <w:trPr>
          <w:cantSplit/>
          <w:tblHeader w:val="true"/>
        </w:trPr>
        <w:tc>
          <w:tcPr>
            <w:tcW w:type="dxa" w:w="1728"/>
            <w:shd w:fill="174C73"/>
          </w:tcPr>
          <w:p>
            <w:r>
              <w:rPr>
                <w:rFonts w:ascii="Noto Sans KR" w:hAnsi="Noto Sans KR" w:eastAsia="Noto Sans KR"/>
                <w:b/>
                <w:sz w:val="19"/>
              </w:rPr>
              <w:t>사례</w:t>
            </w:r>
          </w:p>
        </w:tc>
        <w:tc>
          <w:tcPr>
            <w:tcW w:type="dxa" w:w="1728"/>
            <w:shd w:fill="174C73"/>
          </w:tcPr>
          <w:p>
            <w:r>
              <w:rPr>
                <w:rFonts w:ascii="Noto Sans KR" w:hAnsi="Noto Sans KR" w:eastAsia="Noto Sans KR"/>
                <w:b/>
                <w:sz w:val="19"/>
              </w:rPr>
              <w:t>핵의 성격</w:t>
            </w:r>
          </w:p>
        </w:tc>
        <w:tc>
          <w:tcPr>
            <w:tcW w:type="dxa" w:w="1728"/>
            <w:shd w:fill="174C73"/>
          </w:tcPr>
          <w:p>
            <w:r>
              <w:rPr>
                <w:rFonts w:ascii="Noto Sans KR" w:hAnsi="Noto Sans KR" w:eastAsia="Noto Sans KR"/>
                <w:b/>
                <w:sz w:val="19"/>
              </w:rPr>
              <w:t>영리·자본과의 관계</w:t>
            </w:r>
          </w:p>
        </w:tc>
        <w:tc>
          <w:tcPr>
            <w:tcW w:type="dxa" w:w="1728"/>
            <w:shd w:fill="174C73"/>
          </w:tcPr>
          <w:p>
            <w:r>
              <w:rPr>
                <w:rFonts w:ascii="Noto Sans KR" w:hAnsi="Noto Sans KR" w:eastAsia="Noto Sans KR"/>
                <w:b/>
                <w:sz w:val="19"/>
              </w:rPr>
              <w:t>실제 작동 장치</w:t>
            </w:r>
          </w:p>
        </w:tc>
        <w:tc>
          <w:tcPr>
            <w:tcW w:type="dxa" w:w="1728"/>
            <w:shd w:fill="174C73"/>
          </w:tcPr>
          <w:p>
            <w:r>
              <w:rPr>
                <w:rFonts w:ascii="Noto Sans KR" w:hAnsi="Noto Sans KR" w:eastAsia="Noto Sans KR"/>
                <w:b/>
                <w:sz w:val="19"/>
              </w:rPr>
              <w:t>폰티스에 주는 것</w:t>
            </w:r>
          </w:p>
        </w:tc>
        <w:tc>
          <w:tcPr>
            <w:tcW w:type="dxa" w:w="1728"/>
            <w:shd w:fill="174C73"/>
          </w:tcPr>
          <w:p>
            <w:r>
              <w:rPr>
                <w:rFonts w:ascii="Noto Sans KR" w:hAnsi="Noto Sans KR" w:eastAsia="Noto Sans KR"/>
                <w:b/>
                <w:sz w:val="19"/>
              </w:rPr>
              <w:t>결정적 한계</w:t>
            </w:r>
          </w:p>
        </w:tc>
      </w:tr>
      <w:tr>
        <w:trPr>
          <w:cantSplit/>
        </w:trPr>
        <w:tc>
          <w:tcPr>
            <w:tcW w:type="dxa" w:w="1728"/>
          </w:tcPr>
          <w:p>
            <w:r>
              <w:rPr>
                <w:rFonts w:ascii="Noto Sans KR" w:hAnsi="Noto Sans KR" w:eastAsia="Noto Sans KR"/>
                <w:b w:val="0"/>
                <w:sz w:val="19"/>
              </w:rPr>
              <w:t>쇤슈타트</w:t>
            </w:r>
          </w:p>
        </w:tc>
        <w:tc>
          <w:tcPr>
            <w:tcW w:type="dxa" w:w="1728"/>
          </w:tcPr>
          <w:p>
            <w:r>
              <w:rPr>
                <w:rFonts w:ascii="Noto Sans KR" w:hAnsi="Noto Sans KR" w:eastAsia="Noto Sans KR"/>
                <w:b w:val="0"/>
                <w:sz w:val="19"/>
              </w:rPr>
              <w:t>League–Federation–Institute의 단계형 헌신; Federation/Institute가 움직이는 핵</w:t>
            </w:r>
          </w:p>
        </w:tc>
        <w:tc>
          <w:tcPr>
            <w:tcW w:type="dxa" w:w="1728"/>
          </w:tcPr>
          <w:p>
            <w:r>
              <w:rPr>
                <w:rFonts w:ascii="Noto Sans KR" w:hAnsi="Noto Sans KR" w:eastAsia="Noto Sans KR"/>
                <w:b w:val="0"/>
                <w:sz w:val="19"/>
              </w:rPr>
              <w:t>지역 법인·기관은 자산을 독립 보유 가능</w:t>
            </w:r>
          </w:p>
        </w:tc>
        <w:tc>
          <w:tcPr>
            <w:tcW w:type="dxa" w:w="1728"/>
          </w:tcPr>
          <w:p>
            <w:r>
              <w:rPr>
                <w:rFonts w:ascii="Noto Sans KR" w:hAnsi="Noto Sans KR" w:eastAsia="Noto Sans KR"/>
                <w:b w:val="0"/>
                <w:sz w:val="19"/>
              </w:rPr>
              <w:t>공통 정관, 각 단계의 별도 규칙, 중앙 평의, 서면 운영협약</w:t>
            </w:r>
          </w:p>
        </w:tc>
        <w:tc>
          <w:tcPr>
            <w:tcW w:type="dxa" w:w="1728"/>
          </w:tcPr>
          <w:p>
            <w:r>
              <w:rPr>
                <w:rFonts w:ascii="Noto Sans KR" w:hAnsi="Noto Sans KR" w:eastAsia="Noto Sans KR"/>
                <w:b w:val="0"/>
                <w:sz w:val="19"/>
              </w:rPr>
              <w:t>강한 핵과 다층 참여의 구분</w:t>
            </w:r>
          </w:p>
        </w:tc>
        <w:tc>
          <w:tcPr>
            <w:tcW w:type="dxa" w:w="1728"/>
          </w:tcPr>
          <w:p>
            <w:r>
              <w:rPr>
                <w:rFonts w:ascii="Noto Sans KR" w:hAnsi="Noto Sans KR" w:eastAsia="Noto Sans KR"/>
                <w:b w:val="0"/>
                <w:sz w:val="19"/>
              </w:rPr>
              <w:t>최고 단계에는 수도자·성소 구조가 포함됨</w:t>
            </w:r>
          </w:p>
        </w:tc>
      </w:tr>
      <w:tr>
        <w:trPr>
          <w:cantSplit/>
        </w:trPr>
        <w:tc>
          <w:tcPr>
            <w:tcW w:type="dxa" w:w="1728"/>
          </w:tcPr>
          <w:p>
            <w:r>
              <w:rPr>
                <w:rFonts w:ascii="Noto Sans KR" w:hAnsi="Noto Sans KR" w:eastAsia="Noto Sans KR"/>
                <w:b w:val="0"/>
                <w:sz w:val="19"/>
              </w:rPr>
              <w:t>포콜라레/친교의 경제(EoC)</w:t>
            </w:r>
          </w:p>
        </w:tc>
        <w:tc>
          <w:tcPr>
            <w:tcW w:type="dxa" w:w="1728"/>
          </w:tcPr>
          <w:p>
            <w:r>
              <w:rPr>
                <w:rFonts w:ascii="Noto Sans KR" w:hAnsi="Noto Sans KR" w:eastAsia="Noto Sans KR"/>
                <w:b w:val="0"/>
                <w:sz w:val="19"/>
              </w:rPr>
              <w:t>교회법상 카리스마 공동체</w:t>
            </w:r>
          </w:p>
        </w:tc>
        <w:tc>
          <w:tcPr>
            <w:tcW w:type="dxa" w:w="1728"/>
          </w:tcPr>
          <w:p>
            <w:r>
              <w:rPr>
                <w:rFonts w:ascii="Noto Sans KR" w:hAnsi="Noto Sans KR" w:eastAsia="Noto Sans KR"/>
                <w:b w:val="0"/>
                <w:sz w:val="19"/>
              </w:rPr>
              <w:t>참여 기업은 독립·자율 사업체</w:t>
            </w:r>
          </w:p>
        </w:tc>
        <w:tc>
          <w:tcPr>
            <w:tcW w:type="dxa" w:w="1728"/>
          </w:tcPr>
          <w:p>
            <w:r>
              <w:rPr>
                <w:rFonts w:ascii="Noto Sans KR" w:hAnsi="Noto Sans KR" w:eastAsia="Noto Sans KR"/>
                <w:b w:val="0"/>
                <w:sz w:val="19"/>
              </w:rPr>
              <w:t>형성, 지침, 동료 네트워크, 자발적 이익 배분</w:t>
            </w:r>
          </w:p>
        </w:tc>
        <w:tc>
          <w:tcPr>
            <w:tcW w:type="dxa" w:w="1728"/>
          </w:tcPr>
          <w:p>
            <w:r>
              <w:rPr>
                <w:rFonts w:ascii="Noto Sans KR" w:hAnsi="Noto Sans KR" w:eastAsia="Noto Sans KR"/>
                <w:b w:val="0"/>
                <w:sz w:val="19"/>
              </w:rPr>
              <w:t>핵이 기업을 소유하지 않고도 정신을 흘려보내는 방식</w:t>
            </w:r>
          </w:p>
        </w:tc>
        <w:tc>
          <w:tcPr>
            <w:tcW w:type="dxa" w:w="1728"/>
          </w:tcPr>
          <w:p>
            <w:r>
              <w:rPr>
                <w:rFonts w:ascii="Noto Sans KR" w:hAnsi="Noto Sans KR" w:eastAsia="Noto Sans KR"/>
                <w:b w:val="0"/>
                <w:sz w:val="19"/>
              </w:rPr>
              <w:t>법적 미션 잠금은 약함</w:t>
            </w:r>
          </w:p>
        </w:tc>
      </w:tr>
      <w:tr>
        <w:trPr>
          <w:cantSplit/>
        </w:trPr>
        <w:tc>
          <w:tcPr>
            <w:tcW w:type="dxa" w:w="1728"/>
          </w:tcPr>
          <w:p>
            <w:r>
              <w:rPr>
                <w:rFonts w:ascii="Noto Sans KR" w:hAnsi="Noto Sans KR" w:eastAsia="Noto Sans KR"/>
                <w:b w:val="0"/>
                <w:sz w:val="19"/>
              </w:rPr>
              <w:t>몬드라곤</w:t>
            </w:r>
          </w:p>
        </w:tc>
        <w:tc>
          <w:tcPr>
            <w:tcW w:type="dxa" w:w="1728"/>
          </w:tcPr>
          <w:p>
            <w:r>
              <w:rPr>
                <w:rFonts w:ascii="Noto Sans KR" w:hAnsi="Noto Sans KR" w:eastAsia="Noto Sans KR"/>
                <w:b w:val="0"/>
                <w:sz w:val="19"/>
              </w:rPr>
              <w:t>가톨릭 사회교리에서 출발한 평신도 협동조합 생태계</w:t>
            </w:r>
          </w:p>
        </w:tc>
        <w:tc>
          <w:tcPr>
            <w:tcW w:type="dxa" w:w="1728"/>
          </w:tcPr>
          <w:p>
            <w:r>
              <w:rPr>
                <w:rFonts w:ascii="Noto Sans KR" w:hAnsi="Noto Sans KR" w:eastAsia="Noto Sans KR"/>
                <w:b w:val="0"/>
                <w:sz w:val="19"/>
              </w:rPr>
              <w:t>산업·금융·교육·연구를 연결</w:t>
            </w:r>
          </w:p>
        </w:tc>
        <w:tc>
          <w:tcPr>
            <w:tcW w:type="dxa" w:w="1728"/>
          </w:tcPr>
          <w:p>
            <w:r>
              <w:rPr>
                <w:rFonts w:ascii="Noto Sans KR" w:hAnsi="Noto Sans KR" w:eastAsia="Noto Sans KR"/>
                <w:b w:val="0"/>
                <w:sz w:val="19"/>
              </w:rPr>
              <w:t>조합원 총회, 1인 1표, 사회평의회, 상호금융, 교육</w:t>
            </w:r>
          </w:p>
        </w:tc>
        <w:tc>
          <w:tcPr>
            <w:tcW w:type="dxa" w:w="1728"/>
          </w:tcPr>
          <w:p>
            <w:r>
              <w:rPr>
                <w:rFonts w:ascii="Noto Sans KR" w:hAnsi="Noto Sans KR" w:eastAsia="Noto Sans KR"/>
                <w:b w:val="0"/>
                <w:sz w:val="19"/>
              </w:rPr>
              <w:t>큰 돈·사업·교육을 연결하는 경제 운영체계</w:t>
            </w:r>
          </w:p>
        </w:tc>
        <w:tc>
          <w:tcPr>
            <w:tcW w:type="dxa" w:w="1728"/>
          </w:tcPr>
          <w:p>
            <w:r>
              <w:rPr>
                <w:rFonts w:ascii="Noto Sans KR" w:hAnsi="Noto Sans KR" w:eastAsia="Noto Sans KR"/>
                <w:b w:val="0"/>
                <w:sz w:val="19"/>
              </w:rPr>
              <w:t>현재의 영성 형성·카리스마 보존 장치는 아님</w:t>
            </w:r>
          </w:p>
        </w:tc>
      </w:tr>
      <w:tr>
        <w:trPr>
          <w:cantSplit/>
        </w:trPr>
        <w:tc>
          <w:tcPr>
            <w:tcW w:type="dxa" w:w="1728"/>
          </w:tcPr>
          <w:p>
            <w:r>
              <w:rPr>
                <w:rFonts w:ascii="Noto Sans KR" w:hAnsi="Noto Sans KR" w:eastAsia="Noto Sans KR"/>
                <w:b w:val="0"/>
                <w:sz w:val="19"/>
              </w:rPr>
              <w:t>CL–CdO</w:t>
            </w:r>
          </w:p>
        </w:tc>
        <w:tc>
          <w:tcPr>
            <w:tcW w:type="dxa" w:w="1728"/>
          </w:tcPr>
          <w:p>
            <w:r>
              <w:rPr>
                <w:rFonts w:ascii="Noto Sans KR" w:hAnsi="Noto Sans KR" w:eastAsia="Noto Sans KR"/>
                <w:b w:val="0"/>
                <w:sz w:val="19"/>
              </w:rPr>
              <w:t>공식 카리스마 공동체와 별도 사업·사회기업 협회</w:t>
            </w:r>
          </w:p>
        </w:tc>
        <w:tc>
          <w:tcPr>
            <w:tcW w:type="dxa" w:w="1728"/>
          </w:tcPr>
          <w:p>
            <w:r>
              <w:rPr>
                <w:rFonts w:ascii="Noto Sans KR" w:hAnsi="Noto Sans KR" w:eastAsia="Noto Sans KR"/>
                <w:b w:val="0"/>
                <w:sz w:val="19"/>
              </w:rPr>
              <w:t>회원 기업은 독립 법인</w:t>
            </w:r>
          </w:p>
        </w:tc>
        <w:tc>
          <w:tcPr>
            <w:tcW w:type="dxa" w:w="1728"/>
          </w:tcPr>
          <w:p>
            <w:r>
              <w:rPr>
                <w:rFonts w:ascii="Noto Sans KR" w:hAnsi="Noto Sans KR" w:eastAsia="Noto Sans KR"/>
                <w:b w:val="0"/>
                <w:sz w:val="19"/>
              </w:rPr>
              <w:t>별도 정관, 회원제, 서비스·네트워크, 명칭 사용</w:t>
            </w:r>
          </w:p>
        </w:tc>
        <w:tc>
          <w:tcPr>
            <w:tcW w:type="dxa" w:w="1728"/>
          </w:tcPr>
          <w:p>
            <w:r>
              <w:rPr>
                <w:rFonts w:ascii="Noto Sans KR" w:hAnsi="Noto Sans KR" w:eastAsia="Noto Sans KR"/>
                <w:b w:val="0"/>
                <w:sz w:val="19"/>
              </w:rPr>
              <w:t>핵과 사업 네트워크의 법인 분리</w:t>
            </w:r>
          </w:p>
        </w:tc>
        <w:tc>
          <w:tcPr>
            <w:tcW w:type="dxa" w:w="1728"/>
          </w:tcPr>
          <w:p>
            <w:r>
              <w:rPr>
                <w:rFonts w:ascii="Noto Sans KR" w:hAnsi="Noto Sans KR" w:eastAsia="Noto Sans KR"/>
                <w:b w:val="0"/>
                <w:sz w:val="19"/>
              </w:rPr>
              <w:t>정치·사업·종교 인맥 혼동의 평판 위험</w:t>
            </w:r>
          </w:p>
        </w:tc>
      </w:tr>
      <w:tr>
        <w:trPr>
          <w:cantSplit/>
        </w:trPr>
        <w:tc>
          <w:tcPr>
            <w:tcW w:type="dxa" w:w="1728"/>
          </w:tcPr>
          <w:p>
            <w:r>
              <w:rPr>
                <w:rFonts w:ascii="Noto Sans KR" w:hAnsi="Noto Sans KR" w:eastAsia="Noto Sans KR"/>
                <w:b w:val="0"/>
                <w:sz w:val="19"/>
              </w:rPr>
              <w:t>Scott Bader Commonwealth</w:t>
            </w:r>
          </w:p>
        </w:tc>
        <w:tc>
          <w:tcPr>
            <w:tcW w:type="dxa" w:w="1728"/>
          </w:tcPr>
          <w:p>
            <w:r>
              <w:rPr>
                <w:rFonts w:ascii="Noto Sans KR" w:hAnsi="Noto Sans KR" w:eastAsia="Noto Sans KR"/>
                <w:b w:val="0"/>
                <w:sz w:val="19"/>
              </w:rPr>
              <w:t>퀘이커 윤리에서 온 강한 공동 소유 정신</w:t>
            </w:r>
          </w:p>
        </w:tc>
        <w:tc>
          <w:tcPr>
            <w:tcW w:type="dxa" w:w="1728"/>
          </w:tcPr>
          <w:p>
            <w:r>
              <w:rPr>
                <w:rFonts w:ascii="Noto Sans KR" w:hAnsi="Noto Sans KR" w:eastAsia="Noto Sans KR"/>
                <w:b w:val="0"/>
                <w:sz w:val="19"/>
              </w:rPr>
              <w:t>화학 제조 사업을 계속 운영</w:t>
            </w:r>
          </w:p>
        </w:tc>
        <w:tc>
          <w:tcPr>
            <w:tcW w:type="dxa" w:w="1728"/>
          </w:tcPr>
          <w:p>
            <w:r>
              <w:rPr>
                <w:rFonts w:ascii="Noto Sans KR" w:hAnsi="Noto Sans KR" w:eastAsia="Noto Sans KR"/>
                <w:b w:val="0"/>
                <w:sz w:val="19"/>
              </w:rPr>
              <w:t>보증유한회사·헌법·공동수탁·회원 권리</w:t>
            </w:r>
          </w:p>
        </w:tc>
        <w:tc>
          <w:tcPr>
            <w:tcW w:type="dxa" w:w="1728"/>
          </w:tcPr>
          <w:p>
            <w:r>
              <w:rPr>
                <w:rFonts w:ascii="Noto Sans KR" w:hAnsi="Noto Sans KR" w:eastAsia="Noto Sans KR"/>
                <w:b w:val="0"/>
                <w:sz w:val="19"/>
              </w:rPr>
              <w:t>매각을 어렵게 하는 소유구조</w:t>
            </w:r>
          </w:p>
        </w:tc>
        <w:tc>
          <w:tcPr>
            <w:tcW w:type="dxa" w:w="1728"/>
          </w:tcPr>
          <w:p>
            <w:r>
              <w:rPr>
                <w:rFonts w:ascii="Noto Sans KR" w:hAnsi="Noto Sans KR" w:eastAsia="Noto Sans KR"/>
                <w:b w:val="0"/>
                <w:sz w:val="19"/>
              </w:rPr>
              <w:t>기독교 카리스마 공동체는 아님</w:t>
            </w:r>
          </w:p>
        </w:tc>
      </w:tr>
      <w:tr>
        <w:trPr>
          <w:cantSplit/>
        </w:trPr>
        <w:tc>
          <w:tcPr>
            <w:tcW w:type="dxa" w:w="1728"/>
          </w:tcPr>
          <w:p>
            <w:r>
              <w:rPr>
                <w:rFonts w:ascii="Noto Sans KR" w:hAnsi="Noto Sans KR" w:eastAsia="Noto Sans KR"/>
                <w:b w:val="0"/>
                <w:sz w:val="19"/>
              </w:rPr>
              <w:t>Carl Zeiss / Novo / Bosch</w:t>
            </w:r>
          </w:p>
        </w:tc>
        <w:tc>
          <w:tcPr>
            <w:tcW w:type="dxa" w:w="1728"/>
          </w:tcPr>
          <w:p>
            <w:r>
              <w:rPr>
                <w:rFonts w:ascii="Noto Sans KR" w:hAnsi="Noto Sans KR" w:eastAsia="Noto Sans KR"/>
                <w:b w:val="0"/>
                <w:sz w:val="19"/>
              </w:rPr>
              <w:t>재단·신탁 또는 재단 지배</w:t>
            </w:r>
          </w:p>
        </w:tc>
        <w:tc>
          <w:tcPr>
            <w:tcW w:type="dxa" w:w="1728"/>
          </w:tcPr>
          <w:p>
            <w:r>
              <w:rPr>
                <w:rFonts w:ascii="Noto Sans KR" w:hAnsi="Noto Sans KR" w:eastAsia="Noto Sans KR"/>
                <w:b w:val="0"/>
                <w:sz w:val="19"/>
              </w:rPr>
              <w:t>대규모 영리기업·상장사까지 가능</w:t>
            </w:r>
          </w:p>
        </w:tc>
        <w:tc>
          <w:tcPr>
            <w:tcW w:type="dxa" w:w="1728"/>
          </w:tcPr>
          <w:p>
            <w:r>
              <w:rPr>
                <w:rFonts w:ascii="Noto Sans KR" w:hAnsi="Noto Sans KR" w:eastAsia="Noto Sans KR"/>
                <w:b w:val="0"/>
                <w:sz w:val="19"/>
              </w:rPr>
              <w:t>재단 보유, 의결권/경제권 분리, 양도 제한</w:t>
            </w:r>
          </w:p>
        </w:tc>
        <w:tc>
          <w:tcPr>
            <w:tcW w:type="dxa" w:w="1728"/>
          </w:tcPr>
          <w:p>
            <w:r>
              <w:rPr>
                <w:rFonts w:ascii="Noto Sans KR" w:hAnsi="Noto Sans KR" w:eastAsia="Noto Sans KR"/>
                <w:b w:val="0"/>
                <w:sz w:val="19"/>
              </w:rPr>
              <w:t>큰 자본이 들어와도 미션·지배권 보전</w:t>
            </w:r>
          </w:p>
        </w:tc>
        <w:tc>
          <w:tcPr>
            <w:tcW w:type="dxa" w:w="1728"/>
          </w:tcPr>
          <w:p>
            <w:r>
              <w:rPr>
                <w:rFonts w:ascii="Noto Sans KR" w:hAnsi="Noto Sans KR" w:eastAsia="Noto Sans KR"/>
                <w:b w:val="0"/>
                <w:sz w:val="19"/>
              </w:rPr>
              <w:t>재단 이사회가 폐쇄적으로 될 위험</w:t>
            </w:r>
          </w:p>
        </w:tc>
      </w:tr>
    </w:tbl>
    <w:p>
      <w:pPr>
        <w:pStyle w:val="Heading3"/>
      </w:pPr>
      <w:r>
        <w:t>2.1 쇤슈타트: 폰티스의 “핵–주변” 문제에 가장 가까운 영성 모델</w:t>
      </w:r>
    </w:p>
    <w:p>
      <w:r>
        <w:rPr>
          <w:rFonts w:ascii="Noto Sans KR" w:hAnsi="Noto Sans KR" w:eastAsia="Noto Sans KR"/>
          <w:b w:val="0"/>
          <w:sz w:val="19"/>
        </w:rPr>
        <w:t>쇤슈타트의 General Statute는 참여를 League, Federation, Institute로 나누고, 의무의 강도를 달리한다. Federation과 Institute는 운동의 pars motrix(움직이는 핵)로 설명되고, League는 폭넓은 삶·직업 기반 참여층이다(</w:t>
      </w:r>
      <w:hyperlink r:id="rId15">
        <w:r>
          <w:rPr>
            <w:color w:val="075D99"/>
            <w:u w:val="single"/>
            <w:rFonts w:eastAsia="Noto Sans KR"/>
          </w:rPr>
          <w:t>General Statute arts. 8–36</w:t>
        </w:r>
      </w:hyperlink>
      <w:r>
        <w:rPr>
          <w:rFonts w:ascii="Noto Sans KR" w:hAnsi="Noto Sans KR" w:eastAsia="Noto Sans KR"/>
          <w:b w:val="0"/>
          <w:sz w:val="19"/>
        </w:rPr>
        <w:t>). 특히 “법적 구속은 필요한 만큼, 자유는 가능한 만큼, 영성 형성은 최대한”이라는 원칙(art. 42)은 폰티스의 핵심 질문과 가깝다.</w:t>
      </w:r>
    </w:p>
    <w:p>
      <w:r>
        <w:rPr>
          <w:rFonts w:ascii="Noto Sans KR" w:hAnsi="Noto Sans KR" w:eastAsia="Noto Sans KR"/>
          <w:b w:val="0"/>
          <w:sz w:val="19"/>
        </w:rPr>
        <w:t>동 문서는 센터 자산을 종단, 연합체 또는 각 나라 법에 따른 사법인(private corporation)이 보유할 수 있다고 하고, 운영은 서면 협약으로 정하도록 한다(arts. 37–40). 반면 공동 자산을 하나로 보지 않고 각 공동체의 경제적 자율성을 인정한다(arts. 86–88). 폰티스가 가져갈 것은 “참여의 사다리”와 “핵의 정신 권한·법인의 재산 권한 분리”이지, 수도자 제도 자체가 아니다.</w:t>
      </w:r>
    </w:p>
    <w:p>
      <w:pPr>
        <w:pStyle w:val="Heading3"/>
      </w:pPr>
      <w:r>
        <w:t>2.2 포콜라레/친교의 경제: 가장 가까운 “카리스마 + 독립 기업” 선례</w:t>
      </w:r>
    </w:p>
    <w:p>
      <w:r>
        <w:rPr>
          <w:rFonts w:ascii="Noto Sans KR" w:hAnsi="Noto Sans KR" w:eastAsia="Noto Sans KR"/>
          <w:b w:val="0"/>
          <w:sz w:val="19"/>
        </w:rPr>
        <w:t>포콜라레는 General Assembly, 여성 평신도 President, 사제 co-President, General Council을 가진 공식 카리스마 공동체다(</w:t>
      </w:r>
      <w:hyperlink r:id="rId16">
        <w:r>
          <w:rPr>
            <w:color w:val="075D99"/>
            <w:u w:val="single"/>
            <w:rFonts w:eastAsia="Noto Sans KR"/>
          </w:rPr>
          <w:t>Focolare governance</w:t>
        </w:r>
      </w:hyperlink>
      <w:r>
        <w:rPr>
          <w:rFonts w:ascii="Noto Sans KR" w:hAnsi="Noto Sans KR" w:eastAsia="Noto Sans KR"/>
          <w:b w:val="0"/>
          <w:sz w:val="19"/>
        </w:rPr>
        <w:t>). 그 안에서 1991년 시작한 EoC는 기업가들이 자유시장 속에서 사업을 하되 친교·나눔을 사업 운영 원리로 채택하는 프로젝트다(</w:t>
      </w:r>
      <w:hyperlink r:id="rId17">
        <w:r>
          <w:rPr>
            <w:color w:val="075D99"/>
            <w:u w:val="single"/>
            <w:rFonts w:eastAsia="Noto Sans KR"/>
          </w:rPr>
          <w:t>EoC 소개</w:t>
        </w:r>
      </w:hyperlink>
      <w:r>
        <w:rPr>
          <w:rFonts w:ascii="Noto Sans KR" w:hAnsi="Noto Sans KR" w:eastAsia="Noto Sans KR"/>
          <w:b w:val="0"/>
          <w:sz w:val="19"/>
        </w:rPr>
        <w:t>).</w:t>
      </w:r>
    </w:p>
    <w:p>
      <w:r>
        <w:rPr>
          <w:rFonts w:ascii="Noto Sans KR" w:hAnsi="Noto Sans KR" w:eastAsia="Noto Sans KR"/>
          <w:b w:val="0"/>
          <w:sz w:val="19"/>
        </w:rPr>
        <w:t>중요한 사실은 포콜라레의 공식 보고서가 EoC의 기업·프로젝트를 “자율적이고 독립적”이라고 설명한다는 점이다(</w:t>
      </w:r>
      <w:hyperlink r:id="rId18">
        <w:r>
          <w:rPr>
            <w:color w:val="075D99"/>
            <w:u w:val="single"/>
            <w:rFonts w:eastAsia="Noto Sans KR"/>
          </w:rPr>
          <w:t>2024 report, pp. 86–88</w:t>
        </w:r>
      </w:hyperlink>
      <w:r>
        <w:rPr>
          <w:rFonts w:ascii="Noto Sans KR" w:hAnsi="Noto Sans KR" w:eastAsia="Noto Sans KR"/>
          <w:b w:val="0"/>
          <w:sz w:val="19"/>
        </w:rPr>
        <w:t>). EoC의 경영 지침도 각 기업이 친교를 핵심 가치로 채택하고 참여적 경영·명확한 역할을 갖도록 권하지만, 주식 소유나 이사 선임을 중앙이 통제한다는 근거는 공개 자료에 없다(</w:t>
      </w:r>
      <w:hyperlink r:id="rId19">
        <w:r>
          <w:rPr>
            <w:color w:val="075D99"/>
            <w:u w:val="single"/>
            <w:rFonts w:eastAsia="Noto Sans KR"/>
          </w:rPr>
          <w:t>EoC 경영 지침</w:t>
        </w:r>
      </w:hyperlink>
      <w:r>
        <w:rPr>
          <w:rFonts w:ascii="Noto Sans KR" w:hAnsi="Noto Sans KR" w:eastAsia="Noto Sans KR"/>
          <w:b w:val="0"/>
          <w:sz w:val="19"/>
        </w:rPr>
        <w:t>).</w:t>
      </w:r>
    </w:p>
    <w:p>
      <w:r>
        <w:rPr>
          <w:rFonts w:ascii="Noto Sans KR" w:hAnsi="Noto Sans KR" w:eastAsia="Noto Sans KR"/>
          <w:b w:val="0"/>
          <w:sz w:val="19"/>
        </w:rPr>
        <w:t>따라서 EoC는 폰티스의 “근원이 흘러가는” 차원에는 매우 가깝지만, 큰 자본·에너지 기업을 지키기에는 단독으로 부족하다. 그 취약점을 보완하려면 아래 4절의 하드 미션 잠금이 필요하다.</w:t>
      </w:r>
    </w:p>
    <w:p>
      <w:pPr>
        <w:pStyle w:val="Heading3"/>
      </w:pPr>
      <w:r>
        <w:t>2.3 몬드라곤: 영성 모델이 아니라 경제 운영체계</w:t>
      </w:r>
    </w:p>
    <w:p>
      <w:r>
        <w:rPr>
          <w:rFonts w:ascii="Noto Sans KR" w:hAnsi="Noto Sans KR" w:eastAsia="Noto Sans KR"/>
          <w:b w:val="0"/>
          <w:sz w:val="19"/>
        </w:rPr>
        <w:t>몬드라곤은 사제 호세 마리아 아리스멘디아리에타의 가톨릭 사회교리 영향에서 출발했으나, 오늘날에는 평신도 조합원·관리자·전문기관이 운영하는 협동조합 연합이다. 공식 원칙은 노동의 주권, 1인 1표, 자본 수익의 제한적·종속적 성격, 참여 경영, 임금 연대, 상호협동, 교육을 든다(</w:t>
      </w:r>
      <w:hyperlink r:id="rId20">
        <w:r>
          <w:rPr>
            <w:color w:val="075D99"/>
            <w:u w:val="single"/>
            <w:rFonts w:eastAsia="Noto Sans KR"/>
          </w:rPr>
          <w:t>Mondragon principles</w:t>
        </w:r>
      </w:hyperlink>
      <w:r>
        <w:rPr>
          <w:rFonts w:ascii="Noto Sans KR" w:hAnsi="Noto Sans KR" w:eastAsia="Noto Sans KR"/>
          <w:b w:val="0"/>
          <w:sz w:val="19"/>
        </w:rPr>
        <w:t>).</w:t>
      </w:r>
    </w:p>
    <w:p>
      <w:r>
        <w:rPr>
          <w:rFonts w:ascii="Noto Sans KR" w:hAnsi="Noto Sans KR" w:eastAsia="Noto Sans KR"/>
          <w:b w:val="0"/>
          <w:sz w:val="19"/>
        </w:rPr>
        <w:t>일반총회·운영평의회·감사/모니터링 위원회·사회평의회와 교육·금융 기관을 연결한 구조는 큰 에너지·사업 생태계에 특히 유용하다(</w:t>
      </w:r>
      <w:hyperlink r:id="rId21">
        <w:r>
          <w:rPr>
            <w:color w:val="075D99"/>
            <w:u w:val="single"/>
            <w:rFonts w:eastAsia="Noto Sans KR"/>
          </w:rPr>
          <w:t>2023 annual report, pp. 40–41</w:t>
        </w:r>
      </w:hyperlink>
      <w:r>
        <w:rPr>
          <w:rFonts w:ascii="Noto Sans KR" w:hAnsi="Noto Sans KR" w:eastAsia="Noto Sans KR"/>
          <w:b w:val="0"/>
          <w:sz w:val="19"/>
        </w:rPr>
        <w:t>). 다만 국제화 과정에서 비조합원 노동자와 참여 약화 문제가 생긴 사례도 연구되어 있다(</w:t>
      </w:r>
      <w:hyperlink r:id="rId22">
        <w:r>
          <w:rPr>
            <w:color w:val="075D99"/>
            <w:u w:val="single"/>
            <w:rFonts w:eastAsia="Noto Sans KR"/>
          </w:rPr>
          <w:t>Bretos &amp; Errasti</w:t>
        </w:r>
      </w:hyperlink>
      <w:r>
        <w:rPr>
          <w:rFonts w:ascii="Noto Sans KR" w:hAnsi="Noto Sans KR" w:eastAsia="Noto Sans KR"/>
          <w:b w:val="0"/>
          <w:sz w:val="19"/>
        </w:rPr>
        <w:t>). 폰티스는 이를 “사람이 자동으로 정신을 내면화하지 않는다”는 경고로 읽어야 한다.</w:t>
      </w:r>
    </w:p>
    <w:p>
      <w:pPr>
        <w:pStyle w:val="Heading3"/>
      </w:pPr>
      <w:r>
        <w:t>2.4 CL–CdO: 가까운 사례이면서 피해야 할 위험을 보여 주는 사례</w:t>
      </w:r>
    </w:p>
    <w:p>
      <w:r>
        <w:rPr>
          <w:rFonts w:ascii="Noto Sans KR" w:hAnsi="Noto Sans KR" w:eastAsia="Noto Sans KR"/>
          <w:b w:val="0"/>
          <w:sz w:val="19"/>
        </w:rPr>
        <w:t>Communion and Liberation의 Fraternity는 별도 헌법과 선거·임기 규정을 가진 교회법상 공동체다(</w:t>
      </w:r>
      <w:hyperlink r:id="rId23">
        <w:r>
          <w:rPr>
            <w:color w:val="075D99"/>
            <w:u w:val="single"/>
            <w:rFonts w:eastAsia="Noto Sans KR"/>
          </w:rPr>
          <w:t>2025 Constitutions</w:t>
        </w:r>
      </w:hyperlink>
      <w:r>
        <w:rPr>
          <w:rFonts w:ascii="Noto Sans KR" w:hAnsi="Noto Sans KR" w:eastAsia="Noto Sans KR"/>
          <w:b w:val="0"/>
          <w:sz w:val="19"/>
        </w:rPr>
        <w:t>). 반면 Compagnia delle Opere는 이탈리아법상 별도 비영리 협회이며, 기업·협동조합·재단·전문가가 회원으로 참여하고 사업 지원·교류·서비스·대표 기능을 한다(</w:t>
      </w:r>
      <w:hyperlink r:id="rId24">
        <w:r>
          <w:rPr>
            <w:color w:val="075D99"/>
            <w:u w:val="single"/>
            <w:rFonts w:eastAsia="Noto Sans KR"/>
          </w:rPr>
          <w:t>CdO statute arts. 1–12</w:t>
        </w:r>
      </w:hyperlink>
      <w:r>
        <w:rPr>
          <w:rFonts w:ascii="Noto Sans KR" w:hAnsi="Noto Sans KR" w:eastAsia="Noto Sans KR"/>
          <w:b w:val="0"/>
          <w:sz w:val="19"/>
        </w:rPr>
        <w:t>).</w:t>
      </w:r>
    </w:p>
    <w:p>
      <w:r>
        <w:rPr>
          <w:rFonts w:ascii="Noto Sans KR" w:hAnsi="Noto Sans KR" w:eastAsia="Noto Sans KR"/>
          <w:b w:val="0"/>
          <w:sz w:val="19"/>
        </w:rPr>
        <w:t>이 구분은 유용하다. 그러나 CL과 CdO의 역사적 근접성은 정치·조달·관계 거래에 대한 의심과 평판 위험을 만들었다. 카리스마 핵과 사업 네트워크가 아무리 분리되어 있어도, 인사·계약·자금·명칭 사용이 불투명하면 외부에는 “경제적 팔”처럼 보인다. 폰티스는 이 사례에서 분리 자체보다 분리가 보이고 감사 가능해야 한다는 교훈을 얻어야 한다.</w:t>
      </w:r>
    </w:p>
    <w:p>
      <w:pPr>
        <w:pStyle w:val="Heading3"/>
      </w:pPr>
      <w:r>
        <w:t>2.5 실제 정관 문구: 한국 학교법인과 가톨릭 보건법인</w:t>
      </w:r>
    </w:p>
    <w:p>
      <w:r>
        <w:rPr>
          <w:rFonts w:ascii="Noto Sans KR" w:hAnsi="Noto Sans KR" w:eastAsia="Noto Sans KR"/>
          <w:b w:val="0"/>
          <w:sz w:val="19"/>
        </w:rPr>
        <w:t>국내 공개 정관에서 가장 분명한 사례는 학교법인 이화학당이다. 정관 제1조는 법인의 목적을 “기독교 정신에 입각한” 교육으로 두고, 개방이사의 자격도 설립 이념인 기독교 정신의 교육 목적에 맞는 사람으로 정한다. 이사회 선임 뒤 관할청 승인을 거치는 구조이며, 산하 의료원도 정관에 둔다(</w:t>
      </w:r>
      <w:hyperlink r:id="rId25">
        <w:r>
          <w:rPr>
            <w:color w:val="075D99"/>
            <w:u w:val="single"/>
            <w:rFonts w:eastAsia="Noto Sans KR"/>
          </w:rPr>
          <w:t>이화학당 정관</w:t>
        </w:r>
      </w:hyperlink>
      <w:r>
        <w:rPr>
          <w:rFonts w:ascii="Noto Sans KR" w:hAnsi="Noto Sans KR" w:eastAsia="Noto Sans KR"/>
          <w:b w:val="0"/>
          <w:sz w:val="19"/>
        </w:rPr>
        <w:t>). 이것은 비전 문구를 목적 조항·이사 자격·감독 절차에 나누어 넣은 한국형 사례다. 다만 학교법인은 사립학교법 체계의 특수 법인이므로, 일반 주식회사에 그대로 옮길 수는 없다.</w:t>
      </w:r>
    </w:p>
    <w:p>
      <w:r>
        <w:rPr>
          <w:rFonts w:ascii="Noto Sans KR" w:hAnsi="Noto Sans KR" w:eastAsia="Noto Sans KR"/>
          <w:b w:val="0"/>
          <w:sz w:val="19"/>
        </w:rPr>
        <w:t>가톨릭 보건기관은 “후원자와 유보 권한(reserved powers)”의 구조를 보여 준다. Ascension 관련 민사 거버넌스 문서는 정관·bylaws·운영계약을 Governing Documents로 구분하고, 후원 주체의 교회법상 책임을 따로 정의한다(</w:t>
      </w:r>
      <w:hyperlink r:id="rId26">
        <w:r>
          <w:rPr>
            <w:color w:val="075D99"/>
            <w:u w:val="single"/>
            <w:rFonts w:eastAsia="Noto Sans KR"/>
          </w:rPr>
          <w:t>Ascension governance filing</w:t>
        </w:r>
      </w:hyperlink>
      <w:r>
        <w:rPr>
          <w:rFonts w:ascii="Noto Sans KR" w:hAnsi="Noto Sans KR" w:eastAsia="Noto Sans KR"/>
          <w:b w:val="0"/>
          <w:sz w:val="19"/>
        </w:rPr>
        <w:t>). Trinity 관련 공시 문서에는 Catholic Health Ministries의 보건 사명을 수행하는 법인의 목적 조항이 나타난다(</w:t>
      </w:r>
      <w:hyperlink r:id="rId27">
        <w:r>
          <w:rPr>
            <w:color w:val="075D99"/>
            <w:u w:val="single"/>
            <w:rFonts w:eastAsia="Noto Sans KR"/>
          </w:rPr>
          <w:t>Connecticut filing</w:t>
        </w:r>
      </w:hyperlink>
      <w:r>
        <w:rPr>
          <w:rFonts w:ascii="Noto Sans KR" w:hAnsi="Noto Sans KR" w:eastAsia="Noto Sans KR"/>
          <w:b w:val="0"/>
          <w:sz w:val="19"/>
        </w:rPr>
        <w:t>). St. Joseph's Care Group의 corporate bylaw는 미션·비전·가치 변경, 정관·bylaw 개정, 주요 자산 거래를 회원 승인 사항으로 둔다(</w:t>
      </w:r>
      <w:hyperlink r:id="rId28">
        <w:r>
          <w:rPr>
            <w:color w:val="075D99"/>
            <w:u w:val="single"/>
            <w:rFonts w:eastAsia="Noto Sans KR"/>
          </w:rPr>
          <w:t>Corporate Bylaw, art. 3.2</w:t>
        </w:r>
      </w:hyperlink>
      <w:r>
        <w:rPr>
          <w:rFonts w:ascii="Noto Sans KR" w:hAnsi="Noto Sans KR" w:eastAsia="Noto Sans KR"/>
          <w:b w:val="0"/>
          <w:sz w:val="19"/>
        </w:rPr>
        <w:t>).</w:t>
      </w:r>
    </w:p>
    <w:p>
      <w:r>
        <w:rPr>
          <w:rFonts w:ascii="Noto Sans KR" w:hAnsi="Noto Sans KR" w:eastAsia="Noto Sans KR"/>
          <w:b w:val="0"/>
          <w:sz w:val="19"/>
        </w:rPr>
        <w:t>이 사례들의 공통점은 “신앙 언어” 자체가 아니라, 미션 변경·정관 개정·대표 선임·대형 자산 거래를 누가 승인하는가를 민사 문서에 적었다는 점이다.</w:t>
      </w:r>
    </w:p>
    <w:p>
      <w:pPr>
        <w:pStyle w:val="Heading2"/>
      </w:pPr>
      <w:r>
        <w:t>3. 폰티스에 맞는 5층 구조</w:t>
      </w:r>
    </w:p>
    <w:p>
      <w:pPr>
        <w:ind w:left="173" w:hanging="173"/>
      </w:pPr>
      <w:r>
        <w:rPr>
          <w:rFonts w:ascii="Noto Sans KR" w:hAnsi="Noto Sans KR" w:eastAsia="Noto Sans KR"/>
          <w:b w:val="0"/>
          <w:sz w:val="19"/>
        </w:rPr>
        <w:t>1. 근원 공동체(핵)</w:t>
      </w:r>
    </w:p>
    <w:p>
      <w:r>
        <w:rPr>
          <w:rFonts w:ascii="Noto Sans KR" w:hAnsi="Noto Sans KR" w:eastAsia="Noto Sans KR"/>
          <w:b w:val="0"/>
          <w:sz w:val="19"/>
        </w:rPr>
        <w:t xml:space="preserve">   └─ 영성, 형성, 지도자 양성, 미션 해석, 공동체 입회·퇴회</w:t>
      </w:r>
    </w:p>
    <w:p>
      <w:pPr>
        <w:ind w:left="173" w:hanging="173"/>
      </w:pPr>
      <w:r>
        <w:rPr>
          <w:rFonts w:ascii="Noto Sans KR" w:hAnsi="Noto Sans KR" w:eastAsia="Noto Sans KR"/>
          <w:b w:val="0"/>
          <w:sz w:val="19"/>
        </w:rPr>
        <w:t>2. 미션 수호 법인/가디언</w:t>
      </w:r>
    </w:p>
    <w:p>
      <w:r>
        <w:rPr>
          <w:rFonts w:ascii="Noto Sans KR" w:hAnsi="Noto Sans KR" w:eastAsia="Noto Sans KR"/>
          <w:b w:val="0"/>
          <w:sz w:val="19"/>
        </w:rPr>
        <w:t xml:space="preserve">   └─ 브랜드·정관의 목적 조항·핵심 자산·특수 의결권·미션 변경 승인</w:t>
      </w:r>
    </w:p>
    <w:p>
      <w:pPr>
        <w:ind w:left="173" w:hanging="173"/>
      </w:pPr>
      <w:r>
        <w:rPr>
          <w:rFonts w:ascii="Noto Sans KR" w:hAnsi="Noto Sans KR" w:eastAsia="Noto Sans KR"/>
          <w:b w:val="0"/>
          <w:sz w:val="19"/>
        </w:rPr>
        <w:t>3. 영리 운영 법인들</w:t>
      </w:r>
    </w:p>
    <w:p>
      <w:r>
        <w:rPr>
          <w:rFonts w:ascii="Noto Sans KR" w:hAnsi="Noto Sans KR" w:eastAsia="Noto Sans KR"/>
          <w:b w:val="0"/>
          <w:sz w:val="19"/>
        </w:rPr>
        <w:t xml:space="preserve">   └─ 에너지·투자·서비스 사업; 각 법인의 이사회·대표·회계·고용 책임</w:t>
      </w:r>
    </w:p>
    <w:p>
      <w:pPr>
        <w:ind w:left="173" w:hanging="173"/>
      </w:pPr>
      <w:r>
        <w:rPr>
          <w:rFonts w:ascii="Noto Sans KR" w:hAnsi="Noto Sans KR" w:eastAsia="Noto Sans KR"/>
          <w:b w:val="0"/>
          <w:sz w:val="19"/>
        </w:rPr>
        <w:t>4. 자본·협력자 층</w:t>
      </w:r>
    </w:p>
    <w:p>
      <w:r>
        <w:rPr>
          <w:rFonts w:ascii="Noto Sans KR" w:hAnsi="Noto Sans KR" w:eastAsia="Noto Sans KR"/>
          <w:b w:val="0"/>
          <w:sz w:val="19"/>
        </w:rPr>
        <w:t xml:space="preserve">   └─ 투자자, 기업가, 교수, 언론인; 경제적·계약상 권리만 보유</w:t>
      </w:r>
    </w:p>
    <w:p>
      <w:pPr>
        <w:ind w:left="173" w:hanging="173"/>
      </w:pPr>
      <w:r>
        <w:rPr>
          <w:rFonts w:ascii="Noto Sans KR" w:hAnsi="Noto Sans KR" w:eastAsia="Noto Sans KR"/>
          <w:b w:val="0"/>
          <w:sz w:val="19"/>
        </w:rPr>
        <w:t>5. 참여·네트워크 층</w:t>
      </w:r>
    </w:p>
    <w:p>
      <w:r>
        <w:rPr>
          <w:rFonts w:ascii="Noto Sans KR" w:hAnsi="Noto Sans KR" w:eastAsia="Noto Sans KR"/>
          <w:b w:val="0"/>
          <w:sz w:val="19"/>
        </w:rPr>
        <w:t xml:space="preserve">   └─ 형성 프로그램, 프로젝트, 브랜드 사용, 자발적 연대; 고용·소유·영적 복종과 구별</w:t>
      </w:r>
    </w:p>
    <w:p>
      <w:r>
        <w:rPr>
          <w:rFonts w:ascii="Noto Sans KR" w:hAnsi="Noto Sans KR" w:eastAsia="Noto Sans KR"/>
          <w:b w:val="0"/>
          <w:sz w:val="19"/>
        </w:rPr>
        <w:t>이 다섯 층은 하나의 법인이나 하나의 정관으로 묶지 않는 편이 안전하다. “핵심 공동체”와 “영리 법인”은 은행계좌, 장부, 계약, 인사·보상, 이사회의 결의를 분리한다. 공익·비영리 법인이 영리 자회사를 통제한다면, 이사 선임·해임권 또는 이사회 다수 구성 같은 통제권이 세법상에도 의미를 갖고, 관련 거래에는 독립 승인·공정가치 검토가 필요하다(</w:t>
      </w:r>
      <w:hyperlink r:id="rId29">
        <w:r>
          <w:rPr>
            <w:color w:val="075D99"/>
            <w:u w:val="single"/>
            <w:rFonts w:eastAsia="Noto Sans KR"/>
          </w:rPr>
          <w:t>IRS Schedule R control guidance</w:t>
        </w:r>
      </w:hyperlink>
      <w:r>
        <w:rPr>
          <w:rFonts w:ascii="Noto Sans KR" w:hAnsi="Noto Sans KR" w:eastAsia="Noto Sans KR"/>
          <w:b w:val="0"/>
          <w:sz w:val="19"/>
        </w:rPr>
        <w:t xml:space="preserve">, </w:t>
      </w:r>
      <w:hyperlink r:id="rId30">
        <w:r>
          <w:rPr>
            <w:color w:val="075D99"/>
            <w:u w:val="single"/>
            <w:rFonts w:eastAsia="Noto Sans KR"/>
          </w:rPr>
          <w:t>IRS Rev. Rul. 2004-51</w:t>
        </w:r>
      </w:hyperlink>
      <w:r>
        <w:rPr>
          <w:rFonts w:ascii="Noto Sans KR" w:hAnsi="Noto Sans KR" w:eastAsia="Noto Sans KR"/>
          <w:b w:val="0"/>
          <w:sz w:val="19"/>
        </w:rPr>
        <w:t>).</w:t>
      </w:r>
    </w:p>
    <w:p>
      <w:pPr>
        <w:pStyle w:val="Heading2"/>
      </w:pPr>
      <w:r>
        <w:t>4. 큰 자본을 다루는 “하드 미션 잠금”</w:t>
      </w:r>
    </w:p>
    <w:p>
      <w:pPr>
        <w:pStyle w:val="Heading3"/>
      </w:pPr>
      <w:r>
        <w:t>4.1 왜 미션 선언문만으로는 부족한가</w:t>
      </w:r>
    </w:p>
    <w:p>
      <w:r>
        <w:rPr>
          <w:rFonts w:ascii="Noto Sans KR" w:hAnsi="Noto Sans KR" w:eastAsia="Noto Sans KR"/>
          <w:b w:val="0"/>
          <w:sz w:val="19"/>
        </w:rPr>
        <w:t>홈페이지의 비전 문구는 보통 홍보·문화 문서다. 매각·합병·지배주주 변경의 순간에는 정관, 주식 종류, 주주협약, 신탁·재단 정관, 이사회 권한표가 실제 권한을 정한다. EoC처럼 자발성에 의존하는 모델만으로는 후계 소유자나 대형 투자자의 이탈을 막기 어렵다.</w:t>
      </w:r>
    </w:p>
    <w:p>
      <w:pPr>
        <w:pStyle w:val="Heading3"/>
      </w:pPr>
      <w:r>
        <w:t>4.2 검증된 구조 부품</w:t>
      </w:r>
    </w:p>
    <w:p>
      <w:pPr>
        <w:pStyle w:val="ListBullet"/>
      </w:pPr>
      <w:r>
        <w:rPr>
          <w:rFonts w:ascii="Noto Sans KR" w:hAnsi="Noto Sans KR" w:eastAsia="Noto Sans KR"/>
          <w:b w:val="0"/>
          <w:sz w:val="19"/>
        </w:rPr>
        <w:t>목적 재단/신탁이 의결권 주식을 보유: Patagonia는 Patagonia Purpose Trust가 의결권 주식을, Holdfast Collective가 무의결권 주식을 갖도록 이전했다(</w:t>
      </w:r>
      <w:hyperlink r:id="rId31">
        <w:r>
          <w:rPr>
            <w:color w:val="075D99"/>
            <w:u w:val="single"/>
            <w:rFonts w:eastAsia="Noto Sans KR"/>
          </w:rPr>
          <w:t>Patagonia 발표</w:t>
        </w:r>
      </w:hyperlink>
      <w:r>
        <w:rPr>
          <w:rFonts w:ascii="Noto Sans KR" w:hAnsi="Noto Sans KR" w:eastAsia="Noto Sans KR"/>
          <w:b w:val="0"/>
          <w:sz w:val="19"/>
        </w:rPr>
        <w:t>). 공개 발표는 소유 이전의 근거이지만, 세부 신탁증서는 공개하지 않으므로 그대로 복제할 근거는 아니다.</w:t>
      </w:r>
    </w:p>
    <w:p>
      <w:pPr>
        <w:pStyle w:val="ListBullet"/>
      </w:pPr>
      <w:r>
        <w:rPr>
          <w:rFonts w:ascii="Noto Sans KR" w:hAnsi="Noto Sans KR" w:eastAsia="Noto Sans KR"/>
          <w:b w:val="0"/>
          <w:sz w:val="19"/>
        </w:rPr>
        <w:t>재단 소유와 매각 방지: Carl Zeiss Stiftung은 정관에서 회사 지분의 양도·IPO를 막는 구조를 설명한다(</w:t>
      </w:r>
      <w:hyperlink r:id="rId32">
        <w:r>
          <w:rPr>
            <w:color w:val="075D99"/>
            <w:u w:val="single"/>
            <w:rFonts w:eastAsia="Noto Sans KR"/>
          </w:rPr>
          <w:t>Foundation statute</w:t>
        </w:r>
      </w:hyperlink>
      <w:r>
        <w:rPr>
          <w:rFonts w:ascii="Noto Sans KR" w:hAnsi="Noto Sans KR" w:eastAsia="Noto Sans KR"/>
          <w:b w:val="0"/>
          <w:sz w:val="19"/>
        </w:rPr>
        <w:t>).</w:t>
      </w:r>
    </w:p>
    <w:p>
      <w:pPr>
        <w:pStyle w:val="ListBullet"/>
      </w:pPr>
      <w:r>
        <w:rPr>
          <w:rFonts w:ascii="Noto Sans KR" w:hAnsi="Noto Sans KR" w:eastAsia="Noto Sans KR"/>
          <w:b w:val="0"/>
          <w:sz w:val="19"/>
        </w:rPr>
        <w:t>경제권과 의결권 분리: Novo Nordisk Foundation은 Novo Holdings를 통해 큰 의결권을 보유하며 A주와 B주의 의결권 차이를 둔다(</w:t>
      </w:r>
      <w:hyperlink r:id="rId33">
        <w:r>
          <w:rPr>
            <w:color w:val="075D99"/>
            <w:u w:val="single"/>
            <w:rFonts w:eastAsia="Noto Sans KR"/>
          </w:rPr>
          <w:t>ownership disclosure</w:t>
        </w:r>
      </w:hyperlink>
      <w:r>
        <w:rPr>
          <w:rFonts w:ascii="Noto Sans KR" w:hAnsi="Noto Sans KR" w:eastAsia="Noto Sans KR"/>
          <w:b w:val="0"/>
          <w:sz w:val="19"/>
        </w:rPr>
        <w:t>).</w:t>
      </w:r>
    </w:p>
    <w:p>
      <w:pPr>
        <w:pStyle w:val="ListBullet"/>
      </w:pPr>
      <w:r>
        <w:rPr>
          <w:rFonts w:ascii="Noto Sans KR" w:hAnsi="Noto Sans KR" w:eastAsia="Noto Sans KR"/>
          <w:b w:val="0"/>
          <w:sz w:val="19"/>
        </w:rPr>
        <w:t>보증회사·공동수탁: Scott Bader Commonwealth는 주식 없는 보증유한회사와 헌법을 통해 공동 소유·윤리 원칙을 지속시킨 산업 기업 사례다(</w:t>
      </w:r>
      <w:hyperlink r:id="rId34">
        <w:r>
          <w:rPr>
            <w:color w:val="075D99"/>
            <w:u w:val="single"/>
            <w:rFonts w:eastAsia="Noto Sans KR"/>
          </w:rPr>
          <w:t>Constitution</w:t>
        </w:r>
      </w:hyperlink>
      <w:r>
        <w:rPr>
          <w:rFonts w:ascii="Noto Sans KR" w:hAnsi="Noto Sans KR" w:eastAsia="Noto Sans KR"/>
          <w:b w:val="0"/>
          <w:sz w:val="19"/>
        </w:rPr>
        <w:t>).</w:t>
      </w:r>
    </w:p>
    <w:p>
      <w:r>
        <w:rPr>
          <w:rFonts w:ascii="Noto Sans KR" w:hAnsi="Noto Sans KR" w:eastAsia="Noto Sans KR"/>
          <w:b w:val="0"/>
          <w:sz w:val="19"/>
        </w:rPr>
        <w:t>폰티스에 적용할 때는 목표 법인·투자자·국가가 확정된 뒤, 아래 중 하나를 고른다.</w:t>
      </w:r>
    </w:p>
    <w:p>
      <w:pPr>
        <w:ind w:left="173" w:hanging="173"/>
      </w:pPr>
      <w:r>
        <w:rPr>
          <w:rFonts w:ascii="Noto Sans KR" w:hAnsi="Noto Sans KR" w:eastAsia="Noto Sans KR"/>
          <w:b w:val="0"/>
          <w:sz w:val="19"/>
        </w:rPr>
        <w:t>1. 미션 수호 법인이 Class A/특수주를 보유하고, 투자자는 경제권 중심 Class B를 보유한다.</w:t>
      </w:r>
    </w:p>
    <w:p>
      <w:pPr>
        <w:ind w:left="173" w:hanging="173"/>
      </w:pPr>
      <w:r>
        <w:rPr>
          <w:rFonts w:ascii="Noto Sans KR" w:hAnsi="Noto Sans KR" w:eastAsia="Noto Sans KR"/>
          <w:b w:val="0"/>
          <w:sz w:val="19"/>
        </w:rPr>
        <w:t>2. Class A는 매각, 합병, 목적 변경, 핵심 IP 이전, 청산, 특수주 희석, 대표·핵심 이사 교체에만 거부권을 가진다.</w:t>
      </w:r>
    </w:p>
    <w:p>
      <w:pPr>
        <w:ind w:left="173" w:hanging="173"/>
      </w:pPr>
      <w:r>
        <w:rPr>
          <w:rFonts w:ascii="Noto Sans KR" w:hAnsi="Noto Sans KR" w:eastAsia="Noto Sans KR"/>
          <w:b w:val="0"/>
          <w:sz w:val="19"/>
        </w:rPr>
        <w:t>3. 미션 수호 법인의 이사 교체·정관 변경에도 독립 이사 다수와 강화된 정족수를 둔다.</w:t>
      </w:r>
    </w:p>
    <w:p>
      <w:pPr>
        <w:ind w:left="173" w:hanging="173"/>
      </w:pPr>
      <w:r>
        <w:rPr>
          <w:rFonts w:ascii="Noto Sans KR" w:hAnsi="Noto Sans KR" w:eastAsia="Noto Sans KR"/>
          <w:b w:val="0"/>
          <w:sz w:val="19"/>
        </w:rPr>
        <w:t>4. 사업 법인은 일상 고용·가격·계약을 자율적으로 운영하고, 미션 가디언은 일상 경영을 지시하지 않는다.</w:t>
      </w:r>
    </w:p>
    <w:p>
      <w:r>
        <w:rPr>
          <w:rFonts w:ascii="Noto Sans KR" w:hAnsi="Noto Sans KR" w:eastAsia="Noto Sans KR"/>
          <w:b w:val="0"/>
          <w:sz w:val="19"/>
        </w:rPr>
        <w:t>이는 설계 선택지이지 법률 자문이 아니다. 신탁·재단·우선주·공익법인 사용 가능성은 설립지 법, 세법, 금융규제와 투자계약에 따라 크게 달라진다.</w:t>
      </w:r>
    </w:p>
    <w:p>
      <w:pPr>
        <w:pStyle w:val="Heading2"/>
      </w:pPr>
      <w:r>
        <w:t>5. 지도자와 시스템 설계자의 자리</w:t>
      </w:r>
    </w:p>
    <w:p>
      <w:r>
        <w:rPr>
          <w:rFonts w:ascii="Noto Sans KR" w:hAnsi="Noto Sans KR" w:eastAsia="Noto Sans KR"/>
          <w:b w:val="0"/>
          <w:sz w:val="19"/>
        </w:rPr>
        <w:t>폰티스에서 지도자는 “근원을 해석하고 사람을 형성하는 역할”에, 시스템 설계자는 “그 근원이 자본·법인·계약·정보 흐름에서 훼손되지 않게 하는 역할”에 적합하다. 둘 중 한 사람이 다른 역할을 비공식적으로 덮으면 핵은 개인 의존이 되고, 조직은 불투명해진다.</w:t>
      </w:r>
    </w:p>
    <w:p>
      <w:r>
        <w:rPr>
          <w:rFonts w:ascii="Noto Sans KR" w:hAnsi="Noto Sans KR" w:eastAsia="Noto Sans KR"/>
          <w:b w:val="0"/>
          <w:sz w:val="19"/>
        </w:rPr>
        <w:t>권한을 다음처럼 분리하는 편이 낫다.</w:t>
      </w:r>
    </w:p>
    <w:tbl>
      <w:tblPr>
        <w:tblStyle w:val="TableGrid"/>
        <w:tblW w:type="auto" w:w="0"/>
        <w:tblLook w:firstColumn="1" w:firstRow="1" w:lastColumn="0" w:lastRow="0" w:noHBand="0" w:noVBand="1" w:val="04A0"/>
      </w:tblPr>
      <w:tblGrid>
        <w:gridCol w:w="3456"/>
        <w:gridCol w:w="3456"/>
        <w:gridCol w:w="3456"/>
      </w:tblGrid>
      <w:tr>
        <w:trPr>
          <w:cantSplit/>
          <w:tblHeader w:val="true"/>
        </w:trPr>
        <w:tc>
          <w:tcPr>
            <w:tcW w:type="dxa" w:w="3456"/>
            <w:shd w:fill="174C73"/>
          </w:tcPr>
          <w:p>
            <w:r>
              <w:rPr>
                <w:rFonts w:ascii="Noto Sans KR" w:hAnsi="Noto Sans KR" w:eastAsia="Noto Sans KR"/>
                <w:b/>
                <w:sz w:val="19"/>
              </w:rPr>
              <w:t>주체</w:t>
            </w:r>
          </w:p>
        </w:tc>
        <w:tc>
          <w:tcPr>
            <w:tcW w:type="dxa" w:w="3456"/>
            <w:shd w:fill="174C73"/>
          </w:tcPr>
          <w:p>
            <w:r>
              <w:rPr>
                <w:rFonts w:ascii="Noto Sans KR" w:hAnsi="Noto Sans KR" w:eastAsia="Noto Sans KR"/>
                <w:b/>
                <w:sz w:val="19"/>
              </w:rPr>
              <w:t>주된 권한</w:t>
            </w:r>
          </w:p>
        </w:tc>
        <w:tc>
          <w:tcPr>
            <w:tcW w:type="dxa" w:w="3456"/>
            <w:shd w:fill="174C73"/>
          </w:tcPr>
          <w:p>
            <w:r>
              <w:rPr>
                <w:rFonts w:ascii="Noto Sans KR" w:hAnsi="Noto Sans KR" w:eastAsia="Noto Sans KR"/>
                <w:b/>
                <w:sz w:val="19"/>
              </w:rPr>
              <w:t>단독으로 해서는 안 될 일</w:t>
            </w:r>
          </w:p>
        </w:tc>
      </w:tr>
      <w:tr>
        <w:trPr>
          <w:cantSplit/>
        </w:trPr>
        <w:tc>
          <w:tcPr>
            <w:tcW w:type="dxa" w:w="3456"/>
          </w:tcPr>
          <w:p>
            <w:r>
              <w:rPr>
                <w:rFonts w:ascii="Noto Sans KR" w:hAnsi="Noto Sans KR" w:eastAsia="Noto Sans KR"/>
                <w:b w:val="0"/>
                <w:sz w:val="19"/>
              </w:rPr>
              <w:t>영성/미션 리더</w:t>
            </w:r>
          </w:p>
        </w:tc>
        <w:tc>
          <w:tcPr>
            <w:tcW w:type="dxa" w:w="3456"/>
          </w:tcPr>
          <w:p>
            <w:r>
              <w:rPr>
                <w:rFonts w:ascii="Noto Sans KR" w:hAnsi="Noto Sans KR" w:eastAsia="Noto Sans KR"/>
                <w:b w:val="0"/>
                <w:sz w:val="19"/>
              </w:rPr>
              <w:t>비전 해석, 핵심 공동체 형성, 영적 기준 제안, 미션 적합성 의견</w:t>
            </w:r>
          </w:p>
        </w:tc>
        <w:tc>
          <w:tcPr>
            <w:tcW w:type="dxa" w:w="3456"/>
          </w:tcPr>
          <w:p>
            <w:r>
              <w:rPr>
                <w:rFonts w:ascii="Noto Sans KR" w:hAnsi="Noto Sans KR" w:eastAsia="Noto Sans KR"/>
                <w:b w:val="0"/>
                <w:sz w:val="19"/>
              </w:rPr>
              <w:t>회사 직원 채용·해고, 급여, 투자·계약의 단독 지시</w:t>
            </w:r>
          </w:p>
        </w:tc>
      </w:tr>
      <w:tr>
        <w:trPr>
          <w:cantSplit/>
        </w:trPr>
        <w:tc>
          <w:tcPr>
            <w:tcW w:type="dxa" w:w="3456"/>
          </w:tcPr>
          <w:p>
            <w:r>
              <w:rPr>
                <w:rFonts w:ascii="Noto Sans KR" w:hAnsi="Noto Sans KR" w:eastAsia="Noto Sans KR"/>
                <w:b w:val="0"/>
                <w:sz w:val="19"/>
              </w:rPr>
              <w:t>시스템 설계자/운영 리더</w:t>
            </w:r>
          </w:p>
        </w:tc>
        <w:tc>
          <w:tcPr>
            <w:tcW w:type="dxa" w:w="3456"/>
          </w:tcPr>
          <w:p>
            <w:r>
              <w:rPr>
                <w:rFonts w:ascii="Noto Sans KR" w:hAnsi="Noto Sans KR" w:eastAsia="Noto Sans KR"/>
                <w:b w:val="0"/>
                <w:sz w:val="19"/>
              </w:rPr>
              <w:t>법인 구조, 권한표, 예산·리스크·프로세스, 이사회 자료, 실행</w:t>
            </w:r>
          </w:p>
        </w:tc>
        <w:tc>
          <w:tcPr>
            <w:tcW w:type="dxa" w:w="3456"/>
          </w:tcPr>
          <w:p>
            <w:r>
              <w:rPr>
                <w:rFonts w:ascii="Noto Sans KR" w:hAnsi="Noto Sans KR" w:eastAsia="Noto Sans KR"/>
                <w:b w:val="0"/>
                <w:sz w:val="19"/>
              </w:rPr>
              <w:t>비전·교리의 단독 변경, 영성 참여를 고용 조건으로 강제</w:t>
            </w:r>
          </w:p>
        </w:tc>
      </w:tr>
      <w:tr>
        <w:trPr>
          <w:cantSplit/>
        </w:trPr>
        <w:tc>
          <w:tcPr>
            <w:tcW w:type="dxa" w:w="3456"/>
          </w:tcPr>
          <w:p>
            <w:r>
              <w:rPr>
                <w:rFonts w:ascii="Noto Sans KR" w:hAnsi="Noto Sans KR" w:eastAsia="Noto Sans KR"/>
                <w:b w:val="0"/>
                <w:sz w:val="19"/>
              </w:rPr>
              <w:t>독립 이사회/미션 위원회</w:t>
            </w:r>
          </w:p>
        </w:tc>
        <w:tc>
          <w:tcPr>
            <w:tcW w:type="dxa" w:w="3456"/>
          </w:tcPr>
          <w:p>
            <w:r>
              <w:rPr>
                <w:rFonts w:ascii="Noto Sans KR" w:hAnsi="Noto Sans KR" w:eastAsia="Noto Sans KR"/>
                <w:b w:val="0"/>
                <w:sz w:val="19"/>
              </w:rPr>
              <w:t>정관 목적, 대표 선임·평가·해임, 예산, 관련자 거래, 대형 자산거래, 승계</w:t>
            </w:r>
          </w:p>
        </w:tc>
        <w:tc>
          <w:tcPr>
            <w:tcW w:type="dxa" w:w="3456"/>
          </w:tcPr>
          <w:p>
            <w:r>
              <w:rPr>
                <w:rFonts w:ascii="Noto Sans KR" w:hAnsi="Noto Sans KR" w:eastAsia="Noto Sans KR"/>
                <w:b w:val="0"/>
                <w:sz w:val="19"/>
              </w:rPr>
              <w:t>일상 운영의 미세 관리</w:t>
            </w:r>
          </w:p>
        </w:tc>
      </w:tr>
      <w:tr>
        <w:trPr>
          <w:cantSplit/>
        </w:trPr>
        <w:tc>
          <w:tcPr>
            <w:tcW w:type="dxa" w:w="3456"/>
          </w:tcPr>
          <w:p>
            <w:r>
              <w:rPr>
                <w:rFonts w:ascii="Noto Sans KR" w:hAnsi="Noto Sans KR" w:eastAsia="Noto Sans KR"/>
                <w:b w:val="0"/>
                <w:sz w:val="19"/>
              </w:rPr>
              <w:t>미션 가디언</w:t>
            </w:r>
          </w:p>
        </w:tc>
        <w:tc>
          <w:tcPr>
            <w:tcW w:type="dxa" w:w="3456"/>
          </w:tcPr>
          <w:p>
            <w:r>
              <w:rPr>
                <w:rFonts w:ascii="Noto Sans KR" w:hAnsi="Noto Sans KR" w:eastAsia="Noto Sans KR"/>
                <w:b w:val="0"/>
                <w:sz w:val="19"/>
              </w:rPr>
              <w:t>보호된 사항의 거부·승인, 브랜드·핵심 IP의 미션 적합성</w:t>
            </w:r>
          </w:p>
        </w:tc>
        <w:tc>
          <w:tcPr>
            <w:tcW w:type="dxa" w:w="3456"/>
          </w:tcPr>
          <w:p>
            <w:r>
              <w:rPr>
                <w:rFonts w:ascii="Noto Sans KR" w:hAnsi="Noto Sans KR" w:eastAsia="Noto Sans KR"/>
                <w:b w:val="0"/>
                <w:sz w:val="19"/>
              </w:rPr>
              <w:t>영업·인사·투자에 대한 포괄적 거부권</w:t>
            </w:r>
          </w:p>
        </w:tc>
      </w:tr>
    </w:tbl>
    <w:p>
      <w:r>
        <w:rPr>
          <w:rFonts w:ascii="Noto Sans KR" w:hAnsi="Noto Sans KR" w:eastAsia="Noto Sans KR"/>
          <w:b w:val="0"/>
          <w:sz w:val="19"/>
        </w:rPr>
        <w:t>이런 분리는 추상이 아니다. Mozilla의 bylaws는 이사회가 궁극적 권한을 갖고 일상 운영을 CEO에게 위임하는 구조를 명시한다(</w:t>
      </w:r>
      <w:hyperlink r:id="rId35">
        <w:r>
          <w:rPr>
            <w:color w:val="075D99"/>
            <w:u w:val="single"/>
            <w:rFonts w:eastAsia="Noto Sans KR"/>
          </w:rPr>
          <w:t>Mozilla bylaws</w:t>
        </w:r>
      </w:hyperlink>
      <w:r>
        <w:rPr>
          <w:rFonts w:ascii="Noto Sans KR" w:hAnsi="Noto Sans KR" w:eastAsia="Noto Sans KR"/>
          <w:b w:val="0"/>
          <w:sz w:val="19"/>
        </w:rPr>
        <w:t>). 창업자·운영자의 권한 경계가 흐려질 때에는 독립 의장, 권한위임표, 정기 평가, 승계 계획이 필요하다는 조사 결과도 있다(</w:t>
      </w:r>
      <w:hyperlink r:id="rId36">
        <w:r>
          <w:rPr>
            <w:color w:val="075D99"/>
            <w:u w:val="single"/>
            <w:rFonts w:eastAsia="Noto Sans KR"/>
          </w:rPr>
          <w:t>Imagine Canada</w:t>
        </w:r>
      </w:hyperlink>
      <w:r>
        <w:rPr>
          <w:rFonts w:ascii="Noto Sans KR" w:hAnsi="Noto Sans KR" w:eastAsia="Noto Sans KR"/>
          <w:b w:val="0"/>
          <w:sz w:val="19"/>
        </w:rPr>
        <w:t xml:space="preserve">, </w:t>
      </w:r>
      <w:hyperlink r:id="rId37">
        <w:r>
          <w:rPr>
            <w:color w:val="075D99"/>
            <w:u w:val="single"/>
            <w:rFonts w:eastAsia="Noto Sans KR"/>
          </w:rPr>
          <w:t>Bridgespan/SSIR</w:t>
        </w:r>
      </w:hyperlink>
      <w:r>
        <w:rPr>
          <w:rFonts w:ascii="Noto Sans KR" w:hAnsi="Noto Sans KR" w:eastAsia="Noto Sans KR"/>
          <w:b w:val="0"/>
          <w:sz w:val="19"/>
        </w:rPr>
        <w:t>).</w:t>
      </w:r>
    </w:p>
    <w:p>
      <w:pPr>
        <w:pStyle w:val="Heading2"/>
      </w:pPr>
      <w:r>
        <w:t>6. 무엇을 어느 문서에 넣을 것인가</w:t>
      </w:r>
    </w:p>
    <w:tbl>
      <w:tblPr>
        <w:tblStyle w:val="TableGrid"/>
        <w:tblW w:type="auto" w:w="0"/>
        <w:tblLook w:firstColumn="1" w:firstRow="1" w:lastColumn="0" w:lastRow="0" w:noHBand="0" w:noVBand="1" w:val="04A0"/>
      </w:tblPr>
      <w:tblGrid>
        <w:gridCol w:w="3456"/>
        <w:gridCol w:w="3456"/>
        <w:gridCol w:w="3456"/>
      </w:tblGrid>
      <w:tr>
        <w:trPr>
          <w:cantSplit/>
          <w:tblHeader w:val="true"/>
        </w:trPr>
        <w:tc>
          <w:tcPr>
            <w:tcW w:type="dxa" w:w="3456"/>
            <w:shd w:fill="174C73"/>
          </w:tcPr>
          <w:p>
            <w:r>
              <w:rPr>
                <w:rFonts w:ascii="Noto Sans KR" w:hAnsi="Noto Sans KR" w:eastAsia="Noto Sans KR"/>
                <w:b/>
                <w:sz w:val="19"/>
              </w:rPr>
              <w:t>문서</w:t>
            </w:r>
          </w:p>
        </w:tc>
        <w:tc>
          <w:tcPr>
            <w:tcW w:type="dxa" w:w="3456"/>
            <w:shd w:fill="174C73"/>
          </w:tcPr>
          <w:p>
            <w:r>
              <w:rPr>
                <w:rFonts w:ascii="Noto Sans KR" w:hAnsi="Noto Sans KR" w:eastAsia="Noto Sans KR"/>
                <w:b/>
                <w:sz w:val="19"/>
              </w:rPr>
              <w:t>넣을 내용</w:t>
            </w:r>
          </w:p>
        </w:tc>
        <w:tc>
          <w:tcPr>
            <w:tcW w:type="dxa" w:w="3456"/>
            <w:shd w:fill="174C73"/>
          </w:tcPr>
          <w:p>
            <w:r>
              <w:rPr>
                <w:rFonts w:ascii="Noto Sans KR" w:hAnsi="Noto Sans KR" w:eastAsia="Noto Sans KR"/>
                <w:b/>
                <w:sz w:val="19"/>
              </w:rPr>
              <w:t>넣지 말아야 할 내용</w:t>
            </w:r>
          </w:p>
        </w:tc>
      </w:tr>
      <w:tr>
        <w:trPr>
          <w:cantSplit/>
        </w:trPr>
        <w:tc>
          <w:tcPr>
            <w:tcW w:type="dxa" w:w="3456"/>
          </w:tcPr>
          <w:p>
            <w:r>
              <w:rPr>
                <w:rFonts w:ascii="Noto Sans KR" w:hAnsi="Noto Sans KR" w:eastAsia="Noto Sans KR"/>
                <w:b w:val="0"/>
                <w:sz w:val="19"/>
              </w:rPr>
              <w:t>핵심 공동체 정관/규칙</w:t>
            </w:r>
          </w:p>
        </w:tc>
        <w:tc>
          <w:tcPr>
            <w:tcW w:type="dxa" w:w="3456"/>
          </w:tcPr>
          <w:p>
            <w:r>
              <w:rPr>
                <w:rFonts w:ascii="Noto Sans KR" w:hAnsi="Noto Sans KR" w:eastAsia="Noto Sans KR"/>
                <w:b w:val="0"/>
                <w:sz w:val="19"/>
              </w:rPr>
              <w:t>카리스마, 형성 과정, 회원 등급, 지도자 선출, 미션 해석 절차, 자발적 탈퇴</w:t>
            </w:r>
          </w:p>
        </w:tc>
        <w:tc>
          <w:tcPr>
            <w:tcW w:type="dxa" w:w="3456"/>
          </w:tcPr>
          <w:p>
            <w:r>
              <w:rPr>
                <w:rFonts w:ascii="Noto Sans KR" w:hAnsi="Noto Sans KR" w:eastAsia="Noto Sans KR"/>
                <w:b w:val="0"/>
                <w:sz w:val="19"/>
              </w:rPr>
              <w:t>직원 급여·투자 회수·영업 계약에 대한 영적 복종 조항</w:t>
            </w:r>
          </w:p>
        </w:tc>
      </w:tr>
      <w:tr>
        <w:trPr>
          <w:cantSplit/>
        </w:trPr>
        <w:tc>
          <w:tcPr>
            <w:tcW w:type="dxa" w:w="3456"/>
          </w:tcPr>
          <w:p>
            <w:r>
              <w:rPr>
                <w:rFonts w:ascii="Noto Sans KR" w:hAnsi="Noto Sans KR" w:eastAsia="Noto Sans KR"/>
                <w:b w:val="0"/>
                <w:sz w:val="19"/>
              </w:rPr>
              <w:t>미션 수호 법인 정관</w:t>
            </w:r>
          </w:p>
        </w:tc>
        <w:tc>
          <w:tcPr>
            <w:tcW w:type="dxa" w:w="3456"/>
          </w:tcPr>
          <w:p>
            <w:r>
              <w:rPr>
                <w:rFonts w:ascii="Noto Sans KR" w:hAnsi="Noto Sans KR" w:eastAsia="Noto Sans KR"/>
                <w:b w:val="0"/>
                <w:sz w:val="19"/>
              </w:rPr>
              <w:t>목적, 특수주·이사 선임, 보호 사항, 브랜드·핵심 IP, 독립성·승계</w:t>
            </w:r>
          </w:p>
        </w:tc>
        <w:tc>
          <w:tcPr>
            <w:tcW w:type="dxa" w:w="3456"/>
          </w:tcPr>
          <w:p>
            <w:r>
              <w:rPr>
                <w:rFonts w:ascii="Noto Sans KR" w:hAnsi="Noto Sans KR" w:eastAsia="Noto Sans KR"/>
                <w:b w:val="0"/>
                <w:sz w:val="19"/>
              </w:rPr>
              <w:t>일상 사업의 가격·채용·예산 지시권</w:t>
            </w:r>
          </w:p>
        </w:tc>
      </w:tr>
      <w:tr>
        <w:trPr>
          <w:cantSplit/>
        </w:trPr>
        <w:tc>
          <w:tcPr>
            <w:tcW w:type="dxa" w:w="3456"/>
          </w:tcPr>
          <w:p>
            <w:r>
              <w:rPr>
                <w:rFonts w:ascii="Noto Sans KR" w:hAnsi="Noto Sans KR" w:eastAsia="Noto Sans KR"/>
                <w:b w:val="0"/>
                <w:sz w:val="19"/>
              </w:rPr>
              <w:t>영리법인 정관</w:t>
            </w:r>
          </w:p>
        </w:tc>
        <w:tc>
          <w:tcPr>
            <w:tcW w:type="dxa" w:w="3456"/>
          </w:tcPr>
          <w:p>
            <w:r>
              <w:rPr>
                <w:rFonts w:ascii="Noto Sans KR" w:hAnsi="Noto Sans KR" w:eastAsia="Noto Sans KR"/>
                <w:b w:val="0"/>
                <w:sz w:val="19"/>
              </w:rPr>
              <w:t>사업 목적, 이사회, 주식·의결권, 보호 사항, 회계·공시</w:t>
            </w:r>
          </w:p>
        </w:tc>
        <w:tc>
          <w:tcPr>
            <w:tcW w:type="dxa" w:w="3456"/>
          </w:tcPr>
          <w:p>
            <w:r>
              <w:rPr>
                <w:rFonts w:ascii="Noto Sans KR" w:hAnsi="Noto Sans KR" w:eastAsia="Noto Sans KR"/>
                <w:b w:val="0"/>
                <w:sz w:val="19"/>
              </w:rPr>
              <w:t>불명확한 영적 지시권 또는 모호한 리더 충성 의무</w:t>
            </w:r>
          </w:p>
        </w:tc>
      </w:tr>
      <w:tr>
        <w:trPr>
          <w:cantSplit/>
        </w:trPr>
        <w:tc>
          <w:tcPr>
            <w:tcW w:type="dxa" w:w="3456"/>
          </w:tcPr>
          <w:p>
            <w:r>
              <w:rPr>
                <w:rFonts w:ascii="Noto Sans KR" w:hAnsi="Noto Sans KR" w:eastAsia="Noto Sans KR"/>
                <w:b w:val="0"/>
                <w:sz w:val="19"/>
              </w:rPr>
              <w:t>주주협약/투자계약</w:t>
            </w:r>
          </w:p>
        </w:tc>
        <w:tc>
          <w:tcPr>
            <w:tcW w:type="dxa" w:w="3456"/>
          </w:tcPr>
          <w:p>
            <w:r>
              <w:rPr>
                <w:rFonts w:ascii="Noto Sans KR" w:hAnsi="Noto Sans KR" w:eastAsia="Noto Sans KR"/>
                <w:b w:val="0"/>
                <w:sz w:val="19"/>
              </w:rPr>
              <w:t>자본·배당·우선권, 매각·희석, 정보권, 관련자 거래, 분쟁 해결</w:t>
            </w:r>
          </w:p>
        </w:tc>
        <w:tc>
          <w:tcPr>
            <w:tcW w:type="dxa" w:w="3456"/>
          </w:tcPr>
          <w:p>
            <w:r>
              <w:rPr>
                <w:rFonts w:ascii="Noto Sans KR" w:hAnsi="Noto Sans KR" w:eastAsia="Noto Sans KR"/>
                <w:b w:val="0"/>
                <w:sz w:val="19"/>
              </w:rPr>
              <w:t>투자자에게 공동체의 영성·징계·상담을 통제할 권한</w:t>
            </w:r>
          </w:p>
        </w:tc>
      </w:tr>
      <w:tr>
        <w:trPr>
          <w:cantSplit/>
        </w:trPr>
        <w:tc>
          <w:tcPr>
            <w:tcW w:type="dxa" w:w="3456"/>
          </w:tcPr>
          <w:p>
            <w:r>
              <w:rPr>
                <w:rFonts w:ascii="Noto Sans KR" w:hAnsi="Noto Sans KR" w:eastAsia="Noto Sans KR"/>
                <w:b w:val="0"/>
                <w:sz w:val="19"/>
              </w:rPr>
              <w:t>고용계약·핸드북</w:t>
            </w:r>
          </w:p>
        </w:tc>
        <w:tc>
          <w:tcPr>
            <w:tcW w:type="dxa" w:w="3456"/>
          </w:tcPr>
          <w:p>
            <w:r>
              <w:rPr>
                <w:rFonts w:ascii="Noto Sans KR" w:hAnsi="Noto Sans KR" w:eastAsia="Noto Sans KR"/>
                <w:b w:val="0"/>
                <w:sz w:val="19"/>
              </w:rPr>
              <w:t>직무·임금·근로시간·차별금지·신고·고충·퇴직·보안</w:t>
            </w:r>
          </w:p>
        </w:tc>
        <w:tc>
          <w:tcPr>
            <w:tcW w:type="dxa" w:w="3456"/>
          </w:tcPr>
          <w:p>
            <w:r>
              <w:rPr>
                <w:rFonts w:ascii="Noto Sans KR" w:hAnsi="Noto Sans KR" w:eastAsia="Noto Sans KR"/>
                <w:b w:val="0"/>
                <w:sz w:val="19"/>
              </w:rPr>
              <w:t>일반 직원에게 종교적 고백·헌금·사생활 공개·지도자 순종을 강제하는 조항</w:t>
            </w:r>
          </w:p>
        </w:tc>
      </w:tr>
      <w:tr>
        <w:trPr>
          <w:cantSplit/>
        </w:trPr>
        <w:tc>
          <w:tcPr>
            <w:tcW w:type="dxa" w:w="3456"/>
          </w:tcPr>
          <w:p>
            <w:r>
              <w:rPr>
                <w:rFonts w:ascii="Noto Sans KR" w:hAnsi="Noto Sans KR" w:eastAsia="Noto Sans KR"/>
                <w:b w:val="0"/>
                <w:sz w:val="19"/>
              </w:rPr>
              <w:t>브랜드·관계 약정</w:t>
            </w:r>
          </w:p>
        </w:tc>
        <w:tc>
          <w:tcPr>
            <w:tcW w:type="dxa" w:w="3456"/>
          </w:tcPr>
          <w:p>
            <w:r>
              <w:rPr>
                <w:rFonts w:ascii="Noto Sans KR" w:hAnsi="Noto Sans KR" w:eastAsia="Noto Sans KR"/>
                <w:b w:val="0"/>
                <w:sz w:val="19"/>
              </w:rPr>
              <w:t>명칭·상표 사용, 품질·행동 기준, 교육·감사, 종료와 삭제</w:t>
            </w:r>
          </w:p>
        </w:tc>
        <w:tc>
          <w:tcPr>
            <w:tcW w:type="dxa" w:w="3456"/>
          </w:tcPr>
          <w:p>
            <w:r>
              <w:rPr>
                <w:rFonts w:ascii="Noto Sans KR" w:hAnsi="Noto Sans KR" w:eastAsia="Noto Sans KR"/>
                <w:b w:val="0"/>
                <w:sz w:val="19"/>
              </w:rPr>
              <w:t>네트워크 참여자를 직원·대리인·소유자로 오인시키는 표현</w:t>
            </w:r>
          </w:p>
        </w:tc>
      </w:tr>
    </w:tbl>
    <w:p>
      <w:pPr>
        <w:pStyle w:val="Heading2"/>
      </w:pPr>
      <w:r>
        <w:t>7. 강한 핵을 지키기 위한 안전장치</w:t>
      </w:r>
    </w:p>
    <w:p>
      <w:r>
        <w:rPr>
          <w:rFonts w:ascii="Noto Sans KR" w:hAnsi="Noto Sans KR" w:eastAsia="Noto Sans KR"/>
          <w:b w:val="0"/>
          <w:sz w:val="19"/>
        </w:rPr>
        <w:t>높은 영성의 강도는 그 자체로 문제가 아니다. 문제는 영적 권위가 임금·주거·투자·신고·성적 경계·의료결정·퇴회와 결합해 사람을 통제할 때다. 종교 조직의 권위가 신고를 막고 피해를 은폐한 역사적 실패에 대해 독립 신고·감사·안전 담당이 필요하다는 공적 조사 결과가 있다(</w:t>
      </w:r>
      <w:hyperlink r:id="rId38">
        <w:r>
          <w:rPr>
            <w:color w:val="075D99"/>
            <w:u w:val="single"/>
            <w:rFonts w:eastAsia="Noto Sans KR"/>
          </w:rPr>
          <w:t>Australian Royal Commission</w:t>
        </w:r>
      </w:hyperlink>
      <w:r>
        <w:rPr>
          <w:rFonts w:ascii="Noto Sans KR" w:hAnsi="Noto Sans KR" w:eastAsia="Noto Sans KR"/>
          <w:b w:val="0"/>
          <w:sz w:val="19"/>
        </w:rPr>
        <w:t>).</w:t>
      </w:r>
    </w:p>
    <w:p>
      <w:r>
        <w:rPr>
          <w:rFonts w:ascii="Noto Sans KR" w:hAnsi="Noto Sans KR" w:eastAsia="Noto Sans KR"/>
          <w:b w:val="0"/>
          <w:sz w:val="19"/>
        </w:rPr>
        <w:t>최소 장치는 다음과 같다.</w:t>
      </w:r>
    </w:p>
    <w:p>
      <w:pPr>
        <w:pStyle w:val="ListBullet"/>
      </w:pPr>
      <w:r>
        <w:rPr>
          <w:rFonts w:ascii="Noto Sans KR" w:hAnsi="Noto Sans KR" w:eastAsia="Noto Sans KR"/>
          <w:b w:val="0"/>
          <w:sz w:val="19"/>
        </w:rPr>
        <w:t>영성 상담, 고용 평가, 투자 판단, 징계를 서로 다른 절차와 담당자로 분리한다.</w:t>
      </w:r>
    </w:p>
    <w:p>
      <w:pPr>
        <w:pStyle w:val="ListBullet"/>
      </w:pPr>
      <w:r>
        <w:rPr>
          <w:rFonts w:ascii="Noto Sans KR" w:hAnsi="Noto Sans KR" w:eastAsia="Noto Sans KR"/>
          <w:b w:val="0"/>
          <w:sz w:val="19"/>
        </w:rPr>
        <w:t>창립자·영성 리더·투자자·핵심 이사에 관한 신고는 외부 옴부즈 또는 독립 이사회에 직접 갈 수 있게 한다.</w:t>
      </w:r>
    </w:p>
    <w:p>
      <w:pPr>
        <w:pStyle w:val="ListBullet"/>
      </w:pPr>
      <w:r>
        <w:rPr>
          <w:rFonts w:ascii="Noto Sans KR" w:hAnsi="Noto Sans KR" w:eastAsia="Noto Sans KR"/>
          <w:b w:val="0"/>
          <w:sz w:val="19"/>
        </w:rPr>
        <w:t>관련자 거래는 공개·기권·독립 승인·시장가격 비교를 의무화한다(</w:t>
      </w:r>
      <w:hyperlink r:id="rId39">
        <w:r>
          <w:rPr>
            <w:color w:val="075D99"/>
            <w:u w:val="single"/>
            <w:rFonts w:eastAsia="Noto Sans KR"/>
          </w:rPr>
          <w:t>IRS private benefit guidance</w:t>
        </w:r>
      </w:hyperlink>
      <w:r>
        <w:rPr>
          <w:rFonts w:ascii="Noto Sans KR" w:hAnsi="Noto Sans KR" w:eastAsia="Noto Sans KR"/>
          <w:b w:val="0"/>
          <w:sz w:val="19"/>
        </w:rPr>
        <w:t>).</w:t>
      </w:r>
    </w:p>
    <w:p>
      <w:pPr>
        <w:pStyle w:val="ListBullet"/>
      </w:pPr>
      <w:r>
        <w:rPr>
          <w:rFonts w:ascii="Noto Sans KR" w:hAnsi="Noto Sans KR" w:eastAsia="Noto Sans KR"/>
          <w:b w:val="0"/>
          <w:sz w:val="19"/>
        </w:rPr>
        <w:t>핵심 공동체 탈퇴는 자유롭게 하고, 탈퇴가 이미 발생한 임금·재산·법정 권리의 상실로 이어지지 않게 한다.</w:t>
      </w:r>
    </w:p>
    <w:p>
      <w:pPr>
        <w:pStyle w:val="ListBullet"/>
      </w:pPr>
      <w:r>
        <w:rPr>
          <w:rFonts w:ascii="Noto Sans KR" w:hAnsi="Noto Sans KR" w:eastAsia="Noto Sans KR"/>
          <w:b w:val="0"/>
          <w:sz w:val="19"/>
        </w:rPr>
        <w:t>투자자는 경제적 권리를 가질 수 있어도, 영성·보호·신고·수혜자 결정에 거부권을 갖지 않는다.</w:t>
      </w:r>
    </w:p>
    <w:p>
      <w:pPr>
        <w:pStyle w:val="ListBullet"/>
      </w:pPr>
      <w:r>
        <w:rPr>
          <w:rFonts w:ascii="Noto Sans KR" w:hAnsi="Noto Sans KR" w:eastAsia="Noto Sans KR"/>
          <w:b w:val="0"/>
          <w:sz w:val="19"/>
        </w:rPr>
        <w:t>영성 리더·운영 리더 모두에 대해 정기 평가, 비상 승계, 독립 조사 절차를 둔다.</w:t>
      </w:r>
    </w:p>
    <w:p>
      <w:pPr>
        <w:pStyle w:val="Heading2"/>
      </w:pPr>
      <w:r>
        <w:t>8. 첫 90일 설계 순서</w:t>
      </w:r>
    </w:p>
    <w:p>
      <w:pPr>
        <w:ind w:left="173" w:hanging="173"/>
      </w:pPr>
      <w:r>
        <w:rPr>
          <w:rFonts w:ascii="Noto Sans KR" w:hAnsi="Noto Sans KR" w:eastAsia="Noto Sans KR"/>
          <w:b w:val="0"/>
          <w:sz w:val="19"/>
        </w:rPr>
        <w:t>1. 근원을 품고 세상 속으로를 1쪽 미션 헌장으로 정의한다. 무엇을 절대 바꾸지 않는지, 무엇은 실험 가능한지 분리한다.</w:t>
      </w:r>
    </w:p>
    <w:p>
      <w:pPr>
        <w:ind w:left="173" w:hanging="173"/>
      </w:pPr>
      <w:r>
        <w:rPr>
          <w:rFonts w:ascii="Noto Sans KR" w:hAnsi="Noto Sans KR" w:eastAsia="Noto Sans KR"/>
          <w:b w:val="0"/>
          <w:sz w:val="19"/>
        </w:rPr>
        <w:t>2. 실제 법인·주주·투자자·직원·자산·브랜드·국가를 한 장의 법인관계도로 그린다.</w:t>
      </w:r>
    </w:p>
    <w:p>
      <w:pPr>
        <w:ind w:left="173" w:hanging="173"/>
      </w:pPr>
      <w:r>
        <w:rPr>
          <w:rFonts w:ascii="Noto Sans KR" w:hAnsi="Noto Sans KR" w:eastAsia="Noto Sans KR"/>
          <w:b w:val="0"/>
          <w:sz w:val="19"/>
        </w:rPr>
        <w:t>3. 핵심 공동체, 영리 운영 법인, 미션 수호 법인, 네트워크 참여자의 현재 권한을 표로 만든다.</w:t>
      </w:r>
    </w:p>
    <w:p>
      <w:pPr>
        <w:ind w:left="173" w:hanging="173"/>
      </w:pPr>
      <w:r>
        <w:rPr>
          <w:rFonts w:ascii="Noto Sans KR" w:hAnsi="Noto Sans KR" w:eastAsia="Noto Sans KR"/>
          <w:b w:val="0"/>
          <w:sz w:val="19"/>
        </w:rPr>
        <w:t>4. 큰 자본이 들어올 때 지켜야 할 보호 사항 7개(매각·합병·목적 변경·IP 이전·특수주 희석·핵심 리더 선임·관련자 거래)를 확정한다.</w:t>
      </w:r>
    </w:p>
    <w:p>
      <w:pPr>
        <w:ind w:left="173" w:hanging="173"/>
      </w:pPr>
      <w:r>
        <w:rPr>
          <w:rFonts w:ascii="Noto Sans KR" w:hAnsi="Noto Sans KR" w:eastAsia="Noto Sans KR"/>
          <w:b w:val="0"/>
          <w:sz w:val="19"/>
        </w:rPr>
        <w:t>5. 리더–시스템 설계자–독립 이사회의 권한위임표와 충돌조정 절차를 만든다.</w:t>
      </w:r>
    </w:p>
    <w:p>
      <w:pPr>
        <w:ind w:left="173" w:hanging="173"/>
      </w:pPr>
      <w:r>
        <w:rPr>
          <w:rFonts w:ascii="Noto Sans KR" w:hAnsi="Noto Sans KR" w:eastAsia="Noto Sans KR"/>
          <w:b w:val="0"/>
          <w:sz w:val="19"/>
        </w:rPr>
        <w:t>6. 고용·투자·회원·브랜드 약정을 분리하고, 자발성·신고권·퇴장권을 검토한다.</w:t>
      </w:r>
    </w:p>
    <w:p>
      <w:pPr>
        <w:ind w:left="173" w:hanging="173"/>
      </w:pPr>
      <w:r>
        <w:rPr>
          <w:rFonts w:ascii="Noto Sans KR" w:hAnsi="Noto Sans KR" w:eastAsia="Noto Sans KR"/>
          <w:b w:val="0"/>
          <w:sz w:val="19"/>
        </w:rPr>
        <w:t>7. 대상 국가 변호사와 함께 정관·주주협약·세금·노동·금융 규제 적합성을 검토한다.</w:t>
      </w:r>
    </w:p>
    <w:p>
      <w:pPr>
        <w:pStyle w:val="Heading2"/>
      </w:pPr>
      <w:r>
        <w:t>9. 최종 판단</w:t>
      </w:r>
    </w:p>
    <w:p>
      <w:r>
        <w:rPr>
          <w:rFonts w:ascii="Noto Sans KR" w:hAnsi="Noto Sans KR" w:eastAsia="Noto Sans KR"/>
          <w:b w:val="0"/>
          <w:sz w:val="19"/>
        </w:rPr>
        <w:t>폰티스가 빌려야 할 것은 예수회의 순도와 형성의 진지함이지, 수도자에게 맞춘 복종·재산·장상 구조가 아니다. 가장 가까운 조합은 다음이다.</w:t>
      </w:r>
    </w:p>
    <w:p>
      <w:r>
        <w:rPr>
          <w:rFonts w:ascii="Noto Sans KR" w:hAnsi="Noto Sans KR" w:eastAsia="Noto Sans KR"/>
          <w:b w:val="0"/>
          <w:sz w:val="19"/>
        </w:rPr>
        <w:t>&gt; 쇤슈타트의 고강도 핵과 참여 사다리 + 포콜라레의 카리스마–독립기업 관계 + 몬드라곤의 교육·금융·사업 연결 + Scott Bader·재단/특수주 구조의 자본 잠금 + 독립 이사회·신고·승계 장치.</w:t>
      </w:r>
    </w:p>
    <w:p>
      <w:r>
        <w:rPr>
          <w:rFonts w:ascii="Noto Sans KR" w:hAnsi="Noto Sans KR" w:eastAsia="Noto Sans KR"/>
          <w:b w:val="0"/>
          <w:sz w:val="19"/>
        </w:rPr>
        <w:t>이 조합이라면 강한 근원은 보존하면서도, 아직 형성 중인 평신도·전문가·투자자·기업가를 억지로 수도자처럼 만들지 않고 관계의 책임을 점진적으로 깊게 할 수 있다.</w:t>
      </w:r>
    </w:p>
    <w:p>
      <w:pPr>
        <w:pStyle w:val="Heading2"/>
      </w:pPr>
      <w:r>
        <w:t>핵심 출처</w:t>
      </w:r>
    </w:p>
    <w:p>
      <w:pPr>
        <w:ind w:left="173" w:hanging="173"/>
      </w:pPr>
      <w:r>
        <w:rPr>
          <w:rFonts w:ascii="Noto Sans KR" w:hAnsi="Noto Sans KR" w:eastAsia="Noto Sans KR"/>
          <w:b w:val="0"/>
          <w:sz w:val="19"/>
        </w:rPr>
        <w:t xml:space="preserve">1. </w:t>
      </w:r>
      <w:hyperlink r:id="rId15">
        <w:r>
          <w:rPr>
            <w:color w:val="075D99"/>
            <w:u w:val="single"/>
            <w:rFonts w:eastAsia="Noto Sans KR"/>
          </w:rPr>
          <w:t>Schoenstatt General Statute</w:t>
        </w:r>
      </w:hyperlink>
    </w:p>
    <w:p>
      <w:pPr>
        <w:ind w:left="173" w:hanging="173"/>
      </w:pPr>
      <w:r>
        <w:rPr>
          <w:rFonts w:ascii="Noto Sans KR" w:hAnsi="Noto Sans KR" w:eastAsia="Noto Sans KR"/>
          <w:b w:val="0"/>
          <w:sz w:val="19"/>
        </w:rPr>
        <w:t xml:space="preserve">2. </w:t>
      </w:r>
      <w:hyperlink r:id="rId16">
        <w:r>
          <w:rPr>
            <w:color w:val="075D99"/>
            <w:u w:val="single"/>
            <w:rFonts w:eastAsia="Noto Sans KR"/>
          </w:rPr>
          <w:t>Focolare governance</w:t>
        </w:r>
      </w:hyperlink>
    </w:p>
    <w:p>
      <w:pPr>
        <w:ind w:left="173" w:hanging="173"/>
      </w:pPr>
      <w:r>
        <w:rPr>
          <w:rFonts w:ascii="Noto Sans KR" w:hAnsi="Noto Sans KR" w:eastAsia="Noto Sans KR"/>
          <w:b w:val="0"/>
          <w:sz w:val="19"/>
        </w:rPr>
        <w:t xml:space="preserve">3. </w:t>
      </w:r>
      <w:hyperlink r:id="rId18">
        <w:r>
          <w:rPr>
            <w:color w:val="075D99"/>
            <w:u w:val="single"/>
            <w:rFonts w:eastAsia="Noto Sans KR"/>
          </w:rPr>
          <w:t>Focolare 2024 report</w:t>
        </w:r>
      </w:hyperlink>
    </w:p>
    <w:p>
      <w:pPr>
        <w:ind w:left="173" w:hanging="173"/>
      </w:pPr>
      <w:r>
        <w:rPr>
          <w:rFonts w:ascii="Noto Sans KR" w:hAnsi="Noto Sans KR" w:eastAsia="Noto Sans KR"/>
          <w:b w:val="0"/>
          <w:sz w:val="19"/>
        </w:rPr>
        <w:t xml:space="preserve">4. </w:t>
      </w:r>
      <w:hyperlink r:id="rId17">
        <w:r>
          <w:rPr>
            <w:color w:val="075D99"/>
            <w:u w:val="single"/>
            <w:rFonts w:eastAsia="Noto Sans KR"/>
          </w:rPr>
          <w:t>Economy of Communion</w:t>
        </w:r>
      </w:hyperlink>
    </w:p>
    <w:p>
      <w:pPr>
        <w:ind w:left="173" w:hanging="173"/>
      </w:pPr>
      <w:r>
        <w:rPr>
          <w:rFonts w:ascii="Noto Sans KR" w:hAnsi="Noto Sans KR" w:eastAsia="Noto Sans KR"/>
          <w:b w:val="0"/>
          <w:sz w:val="19"/>
        </w:rPr>
        <w:t xml:space="preserve">5. </w:t>
      </w:r>
      <w:hyperlink r:id="rId20">
        <w:r>
          <w:rPr>
            <w:color w:val="075D99"/>
            <w:u w:val="single"/>
            <w:rFonts w:eastAsia="Noto Sans KR"/>
          </w:rPr>
          <w:t>Mondragon principles</w:t>
        </w:r>
      </w:hyperlink>
    </w:p>
    <w:p>
      <w:pPr>
        <w:ind w:left="173" w:hanging="173"/>
      </w:pPr>
      <w:r>
        <w:rPr>
          <w:rFonts w:ascii="Noto Sans KR" w:hAnsi="Noto Sans KR" w:eastAsia="Noto Sans KR"/>
          <w:b w:val="0"/>
          <w:sz w:val="19"/>
        </w:rPr>
        <w:t xml:space="preserve">6. </w:t>
      </w:r>
      <w:hyperlink r:id="rId21">
        <w:r>
          <w:rPr>
            <w:color w:val="075D99"/>
            <w:u w:val="single"/>
            <w:rFonts w:eastAsia="Noto Sans KR"/>
          </w:rPr>
          <w:t>Mondragon 2023 annual report</w:t>
        </w:r>
      </w:hyperlink>
    </w:p>
    <w:p>
      <w:pPr>
        <w:ind w:left="173" w:hanging="173"/>
      </w:pPr>
      <w:r>
        <w:rPr>
          <w:rFonts w:ascii="Noto Sans KR" w:hAnsi="Noto Sans KR" w:eastAsia="Noto Sans KR"/>
          <w:b w:val="0"/>
          <w:sz w:val="19"/>
        </w:rPr>
        <w:t xml:space="preserve">7. </w:t>
      </w:r>
      <w:hyperlink r:id="rId23">
        <w:r>
          <w:rPr>
            <w:color w:val="075D99"/>
            <w:u w:val="single"/>
            <w:rFonts w:eastAsia="Noto Sans KR"/>
          </w:rPr>
          <w:t>CL 2025 Constitutions</w:t>
        </w:r>
      </w:hyperlink>
    </w:p>
    <w:p>
      <w:pPr>
        <w:ind w:left="173" w:hanging="173"/>
      </w:pPr>
      <w:r>
        <w:rPr>
          <w:rFonts w:ascii="Noto Sans KR" w:hAnsi="Noto Sans KR" w:eastAsia="Noto Sans KR"/>
          <w:b w:val="0"/>
          <w:sz w:val="19"/>
        </w:rPr>
        <w:t xml:space="preserve">8. </w:t>
      </w:r>
      <w:hyperlink r:id="rId24">
        <w:r>
          <w:rPr>
            <w:color w:val="075D99"/>
            <w:u w:val="single"/>
            <w:rFonts w:eastAsia="Noto Sans KR"/>
          </w:rPr>
          <w:t>Compagnia delle Opere statute</w:t>
        </w:r>
      </w:hyperlink>
    </w:p>
    <w:p>
      <w:pPr>
        <w:ind w:left="173" w:hanging="173"/>
      </w:pPr>
      <w:r>
        <w:rPr>
          <w:rFonts w:ascii="Noto Sans KR" w:hAnsi="Noto Sans KR" w:eastAsia="Noto Sans KR"/>
          <w:b w:val="0"/>
          <w:sz w:val="19"/>
        </w:rPr>
        <w:t xml:space="preserve">9. </w:t>
      </w:r>
      <w:hyperlink r:id="rId34">
        <w:r>
          <w:rPr>
            <w:color w:val="075D99"/>
            <w:u w:val="single"/>
            <w:rFonts w:eastAsia="Noto Sans KR"/>
          </w:rPr>
          <w:t>Scott Bader Constitution</w:t>
        </w:r>
      </w:hyperlink>
    </w:p>
    <w:p>
      <w:pPr>
        <w:ind w:left="173" w:hanging="173"/>
      </w:pPr>
      <w:r>
        <w:rPr>
          <w:rFonts w:ascii="Noto Sans KR" w:hAnsi="Noto Sans KR" w:eastAsia="Noto Sans KR"/>
          <w:b w:val="0"/>
          <w:sz w:val="19"/>
        </w:rPr>
        <w:t xml:space="preserve">10. </w:t>
      </w:r>
      <w:hyperlink r:id="rId32">
        <w:r>
          <w:rPr>
            <w:color w:val="075D99"/>
            <w:u w:val="single"/>
            <w:rFonts w:eastAsia="Noto Sans KR"/>
          </w:rPr>
          <w:t>Carl Zeiss Stiftung statute</w:t>
        </w:r>
      </w:hyperlink>
    </w:p>
    <w:p>
      <w:pPr>
        <w:ind w:left="173" w:hanging="173"/>
      </w:pPr>
      <w:r>
        <w:rPr>
          <w:rFonts w:ascii="Noto Sans KR" w:hAnsi="Noto Sans KR" w:eastAsia="Noto Sans KR"/>
          <w:b w:val="0"/>
          <w:sz w:val="19"/>
        </w:rPr>
        <w:t xml:space="preserve">11. </w:t>
      </w:r>
      <w:hyperlink r:id="rId33">
        <w:r>
          <w:rPr>
            <w:color w:val="075D99"/>
            <w:u w:val="single"/>
            <w:rFonts w:eastAsia="Noto Sans KR"/>
          </w:rPr>
          <w:t>Novo Nordisk Foundation ownership</w:t>
        </w:r>
      </w:hyperlink>
    </w:p>
    <w:p>
      <w:pPr>
        <w:ind w:left="173" w:hanging="173"/>
      </w:pPr>
      <w:r>
        <w:rPr>
          <w:rFonts w:ascii="Noto Sans KR" w:hAnsi="Noto Sans KR" w:eastAsia="Noto Sans KR"/>
          <w:b w:val="0"/>
          <w:sz w:val="19"/>
        </w:rPr>
        <w:t xml:space="preserve">12. </w:t>
      </w:r>
      <w:hyperlink r:id="rId31">
        <w:r>
          <w:rPr>
            <w:color w:val="075D99"/>
            <w:u w:val="single"/>
            <w:rFonts w:eastAsia="Noto Sans KR"/>
          </w:rPr>
          <w:t>Patagonia ownership announcement</w:t>
        </w:r>
      </w:hyperlink>
    </w:p>
    <w:p>
      <w:pPr>
        <w:ind w:left="173" w:hanging="173"/>
      </w:pPr>
      <w:r>
        <w:rPr>
          <w:rFonts w:ascii="Noto Sans KR" w:hAnsi="Noto Sans KR" w:eastAsia="Noto Sans KR"/>
          <w:b w:val="0"/>
          <w:sz w:val="19"/>
        </w:rPr>
        <w:t xml:space="preserve">13. </w:t>
      </w:r>
      <w:hyperlink r:id="rId10">
        <w:r>
          <w:rPr>
            <w:color w:val="075D99"/>
            <w:u w:val="single"/>
            <w:rFonts w:eastAsia="Noto Sans KR"/>
          </w:rPr>
          <w:t>Code of Canon Law, juridic persons</w:t>
        </w:r>
      </w:hyperlink>
    </w:p>
    <w:p>
      <w:pPr>
        <w:ind w:left="173" w:hanging="173"/>
      </w:pPr>
      <w:r>
        <w:rPr>
          <w:rFonts w:ascii="Noto Sans KR" w:hAnsi="Noto Sans KR" w:eastAsia="Noto Sans KR"/>
          <w:b w:val="0"/>
          <w:sz w:val="19"/>
        </w:rPr>
        <w:t xml:space="preserve">14. </w:t>
      </w:r>
      <w:hyperlink r:id="rId12">
        <w:r>
          <w:rPr>
            <w:color w:val="075D99"/>
            <w:u w:val="single"/>
            <w:rFonts w:eastAsia="Noto Sans KR"/>
          </w:rPr>
          <w:t>Code of Canon Law, temporal goods</w:t>
        </w:r>
      </w:hyperlink>
    </w:p>
    <w:p>
      <w:pPr>
        <w:ind w:left="173" w:hanging="173"/>
      </w:pPr>
      <w:r>
        <w:rPr>
          <w:rFonts w:ascii="Noto Sans KR" w:hAnsi="Noto Sans KR" w:eastAsia="Noto Sans KR"/>
          <w:b w:val="0"/>
          <w:sz w:val="19"/>
        </w:rPr>
        <w:t xml:space="preserve">15. </w:t>
      </w:r>
      <w:hyperlink r:id="rId29">
        <w:r>
          <w:rPr>
            <w:color w:val="075D99"/>
            <w:u w:val="single"/>
            <w:rFonts w:eastAsia="Noto Sans KR"/>
          </w:rPr>
          <w:t>IRS controlled organizations</w:t>
        </w:r>
      </w:hyperlink>
    </w:p>
    <w:p>
      <w:pPr>
        <w:ind w:left="173" w:hanging="173"/>
      </w:pPr>
      <w:r>
        <w:rPr>
          <w:rFonts w:ascii="Noto Sans KR" w:hAnsi="Noto Sans KR" w:eastAsia="Noto Sans KR"/>
          <w:b w:val="0"/>
          <w:sz w:val="19"/>
        </w:rPr>
        <w:t xml:space="preserve">16. </w:t>
      </w:r>
      <w:hyperlink r:id="rId35">
        <w:r>
          <w:rPr>
            <w:color w:val="075D99"/>
            <w:u w:val="single"/>
            <w:rFonts w:eastAsia="Noto Sans KR"/>
          </w:rPr>
          <w:t>Mozilla bylaws</w:t>
        </w:r>
      </w:hyperlink>
    </w:p>
    <w:p>
      <w:pPr>
        <w:ind w:left="173" w:hanging="173"/>
      </w:pPr>
      <w:r>
        <w:rPr>
          <w:rFonts w:ascii="Noto Sans KR" w:hAnsi="Noto Sans KR" w:eastAsia="Noto Sans KR"/>
          <w:b w:val="0"/>
          <w:sz w:val="19"/>
        </w:rPr>
        <w:t xml:space="preserve">17. </w:t>
      </w:r>
      <w:hyperlink r:id="rId38">
        <w:r>
          <w:rPr>
            <w:color w:val="075D99"/>
            <w:u w:val="single"/>
            <w:rFonts w:eastAsia="Noto Sans KR"/>
          </w:rPr>
          <w:t>Australian Royal Commission, religious institutions</w:t>
        </w:r>
      </w:hyperlink>
    </w:p>
    <w:sectPr w:rsidR="00FC693F" w:rsidRPr="0006063C" w:rsidSect="00034616">
      <w:headerReference w:type="default" r:id="rId9"/>
      <w:footerReference w:type="default" r:id="rId4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b w:val="0"/>
        <w:sz w:val="19"/>
      </w:rPr>
      <w:t>공개 자료 조사 · 법률 자문 아님</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KR" w:hAnsi="Noto Sans KR" w:eastAsia="Noto Sans KR"/>
        <w:b w:val="0"/>
        <w:sz w:val="19"/>
      </w:rPr>
      <w:t>폰티스형 선교·영리 생태계 사례 조사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KR" w:hAnsi="Noto Sans KR" w:eastAsia="Noto Sans KR"/>
      <w:b/>
      <w:bCs/>
      <w:color w:val="1425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w:hAnsi="Noto Sans KR" w:eastAsia="Noto Sans KR"/>
      <w:b/>
      <w:bCs/>
      <w:color w:val="12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KR" w:hAnsi="Noto Sans KR" w:eastAsia="Noto Sans KR"/>
      <w:b/>
      <w:bCs/>
      <w:color w:val="1E63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vatican.va/archive/cod-iuris-canonici/eng/documents/cic_lib1-cann113-123_en.html" TargetMode="External"/><Relationship Id="rId11" Type="http://schemas.openxmlformats.org/officeDocument/2006/relationships/hyperlink" Target="https://press.vatican.va/archive/cod-iuris-canonici/eng/documents/cic_lib2-cann607-709_en.html" TargetMode="External"/><Relationship Id="rId12" Type="http://schemas.openxmlformats.org/officeDocument/2006/relationships/hyperlink" Target="https://www.vatican.va/archive/cod-iuris-canonici/eng/documents/cic_lib5-cann1254-1310_en.html" TargetMode="External"/><Relationship Id="rId13" Type="http://schemas.openxmlformats.org/officeDocument/2006/relationships/hyperlink" Target="https://www.scu.edu/media/jst/deanx27s-office/Articles-of-Incorporation.pdf" TargetMode="External"/><Relationship Id="rId14" Type="http://schemas.openxmlformats.org/officeDocument/2006/relationships/hyperlink" Target="https://www.scu.edu/media/jst/JST-Bylaws-2022-accessible.pdf" TargetMode="External"/><Relationship Id="rId15" Type="http://schemas.openxmlformats.org/officeDocument/2006/relationships/hyperlink" Target="https://schoenstatt.com/wp-content/uploads/2021/08/106.11-1-Generalstatut-September-2017-english.pdf" TargetMode="External"/><Relationship Id="rId16" Type="http://schemas.openxmlformats.org/officeDocument/2006/relationships/hyperlink" Target="https://www.focolare.org/en/about-us/" TargetMode="External"/><Relationship Id="rId17" Type="http://schemas.openxmlformats.org/officeDocument/2006/relationships/hyperlink" Target="https://www.economyofcommunion.org/about/" TargetMode="External"/><Relationship Id="rId18" Type="http://schemas.openxmlformats.org/officeDocument/2006/relationships/hyperlink" Target="https://www.focolare.org/wp-content/uploads/2025/12/Bdc_Report_web_ENG.pdf" TargetMode="External"/><Relationship Id="rId19" Type="http://schemas.openxmlformats.org/officeDocument/2006/relationships/hyperlink" Target="https://www.edc-online.org/en/imprese-alias/linee-per-condurre-un-impresa.html" TargetMode="External"/><Relationship Id="rId20" Type="http://schemas.openxmlformats.org/officeDocument/2006/relationships/hyperlink" Target="https://www.mondragon-corporation.com/en/about-us/" TargetMode="External"/><Relationship Id="rId21" Type="http://schemas.openxmlformats.org/officeDocument/2006/relationships/hyperlink" Target="https://www.mondragon-corporation.com/people/site/assets/files/103207/annual-report-2023-ext.pdf" TargetMode="External"/><Relationship Id="rId22" Type="http://schemas.openxmlformats.org/officeDocument/2006/relationships/hyperlink" Target="https://ccwbe.org/wp-content/uploads/2023/09/bretos-errasti-2016-challenges-and-opportunities-for-regeneration-of-multinational-worker-cooperatives-lessons-from-1.pdf" TargetMode="External"/><Relationship Id="rId23" Type="http://schemas.openxmlformats.org/officeDocument/2006/relationships/hyperlink" Target="https://www.clonline.org/storage_files/articles-attachments/1766145044-Constitutions_2025.pdf" TargetMode="External"/><Relationship Id="rId24" Type="http://schemas.openxmlformats.org/officeDocument/2006/relationships/hyperlink" Target="https://www.cdo.org/wp-content/uploads/2024/06/statuto_cdo_nazionale.pdf" TargetMode="External"/><Relationship Id="rId25" Type="http://schemas.openxmlformats.org/officeDocument/2006/relationships/hyperlink" Target="https://www.ewha.ac.kr/upload/rulesfile/9493_rulesfile_1579486138468.pdf" TargetMode="External"/><Relationship Id="rId26" Type="http://schemas.openxmlformats.org/officeDocument/2006/relationships/hyperlink" Target="https://hscrc.maryland.gov/documents/public-interest/hospitalgovernance/ctrhlthcaregovernance_2007.pdf" TargetMode="External"/><Relationship Id="rId27" Type="http://schemas.openxmlformats.org/officeDocument/2006/relationships/hyperlink" Target="https://portal.ct.gov/-/media/OHS/ohca/CON_Completed/2015/15_32045C_CON.pdf" TargetMode="External"/><Relationship Id="rId28" Type="http://schemas.openxmlformats.org/officeDocument/2006/relationships/hyperlink" Target="https://sjcg.net/documents/board-of-directors/by-laws/SJCG%20Corporate%20Bylaw.pdf" TargetMode="External"/><Relationship Id="rId29" Type="http://schemas.openxmlformats.org/officeDocument/2006/relationships/hyperlink" Target="https://www.irs.gov/charities-non-profits/exempt-organizations-annual-reporting-requirements-form-990-schedule-r-meaning-of-control-for-organizations-without-owners" TargetMode="External"/><Relationship Id="rId30" Type="http://schemas.openxmlformats.org/officeDocument/2006/relationships/hyperlink" Target="https://www.irs.gov/irb/2004-22_IRB" TargetMode="External"/><Relationship Id="rId31" Type="http://schemas.openxmlformats.org/officeDocument/2006/relationships/hyperlink" Target="https://www.patagoniaworks.com/press/2022/9/14/patagonias-next-chapter-earth-is-now-our-only-shareholder" TargetMode="External"/><Relationship Id="rId32" Type="http://schemas.openxmlformats.org/officeDocument/2006/relationships/hyperlink" Target="https://www.carl-zeiss-stiftung.de/fileadmin/mediamanager/downloads/240129_Statut_EN.pdf" TargetMode="External"/><Relationship Id="rId33" Type="http://schemas.openxmlformats.org/officeDocument/2006/relationships/hyperlink" Target="https://novonordiskfonden.dk/en/who-we-are/ownership/" TargetMode="External"/><Relationship Id="rId34" Type="http://schemas.openxmlformats.org/officeDocument/2006/relationships/hyperlink" Target="https://www.scottbader.com/wp-content/uploads/5843_constitution-printed-dec-2014.pdf" TargetMode="External"/><Relationship Id="rId35" Type="http://schemas.openxmlformats.org/officeDocument/2006/relationships/hyperlink" Target="https://www.mozilla.org/en-US/foundation/documents/bylaws/" TargetMode="External"/><Relationship Id="rId36" Type="http://schemas.openxmlformats.org/officeDocument/2006/relationships/hyperlink" Target="https://imaginecanada.ca/en/research/good-governance-founder-led-organizations" TargetMode="External"/><Relationship Id="rId37" Type="http://schemas.openxmlformats.org/officeDocument/2006/relationships/hyperlink" Target="https://www.bridgespan.org/getmedia/d240cbfc-d356-42eb-8f65-5f3730042c57/Spring_2018_SSIR_making_founder_successions_work.pdf" TargetMode="External"/><Relationship Id="rId38" Type="http://schemas.openxmlformats.org/officeDocument/2006/relationships/hyperlink" Target="https://www.childabuseroyalcommission.gov.au/religious-institutions" TargetMode="External"/><Relationship Id="rId39" Type="http://schemas.openxmlformats.org/officeDocument/2006/relationships/hyperlink" Target="https://www.irs.gov/charities-non-profits/charitable-organizations/inurement-private-benefit-charitable-organizations" TargetMode="External"/><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