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2F5D50"/>
        </w:rPr>
        <w:t>秋日露營季｜代理商檔期執行 Brief（v0.9 待客戶確認）</w:t>
      </w:r>
    </w:p>
    <w:p>
      <w:r>
        <w:rPr>
          <w:rFonts w:ascii="Microsoft JhengHei" w:hAnsi="Microsoft JhengHei" w:eastAsia="Microsoft JhengHei"/>
          <w:b w:val="0"/>
          <w:sz w:val="18"/>
        </w:rPr>
        <w:t>提供方：光合行銷代理商　專案窗口 陳彥廷｜收件：沐野 行銷部 林思妤｜長度：完整版，請摘要重點</w:t>
      </w:r>
    </w:p>
    <w:p>
      <w:pPr>
        <w:pStyle w:val="Heading1"/>
      </w:pPr>
      <w:r>
        <w:rPr>
          <w:rFonts w:ascii="Microsoft JhengHei" w:hAnsi="Microsoft JhengHei" w:eastAsia="Microsoft JhengHei"/>
          <w:color w:val="2F5D50"/>
        </w:rPr>
        <w:t>1. 檔期目標與 KPI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檔期：2026/9/15–10/15，主題「秋日露營季」，主推香氛蠋燭系列、氛圍燈、組合包。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營收目標：檔期總營收 NT$480 萬，新品占比 ≥ 35%。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流量目標：官網不重複訪客 25 萬、EDM 開信率 ≥ 28%、社群互動率 ≥ 6%。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會員目標：新增會員 8,000、回購率提升 5 個百分點。</w:t>
      </w:r>
    </w:p>
    <w:p>
      <w:pPr>
        <w:pStyle w:val="Heading1"/>
      </w:pPr>
      <w:r>
        <w:rPr>
          <w:rFonts w:ascii="Microsoft JhengHei" w:hAnsi="Microsoft JhengHei" w:eastAsia="Microsoft JhengHei"/>
          <w:color w:val="2F5D50"/>
        </w:rPr>
        <w:t>2. 渠道分工與時程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週次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重點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負責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W1 (9/15-)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預熱短影音、KOL 開箱、EDM 首發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代理商 + 沐野社群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W2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官網主視覺上線、組合包主打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沐野電商 + 設計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W3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會員專屬加碼、限時快閃店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沐野 CRM + 門市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W4 (-10/15)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最後倒數、庫存去化、成效收斂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全體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color w:val="2F5D50"/>
        </w:rPr>
        <w:t>3. 預算配置（未稅，NT$）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項目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金額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數位廣告投放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1,200,000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48%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KOL / 短影音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650,000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26%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設計與素材製作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350,000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14%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快閃店與贈品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300,000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</w:rPr>
              <w:t>12%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color w:val="2F5D50"/>
        </w:rPr>
        <w:t>4. 待客戶（沐野）決策事項</w:t>
      </w:r>
    </w:p>
    <w:p>
      <w:pPr>
        <w:pStyle w:val="ListNumber"/>
      </w:pPr>
      <w:r>
        <w:rPr>
          <w:rFonts w:ascii="Microsoft JhengHei" w:hAnsi="Microsoft JhengHei" w:eastAsia="Microsoft JhengHei"/>
        </w:rPr>
        <w:t>組合包定價是否維持 NT$1,880，或再加碼首週限時 NT$1,780？（影響毛利與 EDM 文案）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會員加碼贈品二選一：香氛旅行組 或 露營收納袋，需 9/5 前定案以利備料。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快閃店城市：台北信義 vs 台中勤美，二擇一（含檔期與場租差異）。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是否啟用 Claude／OpenAI 生成之社群文案初稿供內部審閱？</w:t>
      </w:r>
    </w:p>
    <w:p>
      <w:pPr>
        <w:pStyle w:val="Heading1"/>
      </w:pPr>
      <w:r>
        <w:rPr>
          <w:rFonts w:ascii="Microsoft JhengHei" w:hAnsi="Microsoft JhengHei" w:eastAsia="Microsoft JhengHei"/>
          <w:color w:val="2F5D50"/>
        </w:rPr>
        <w:t>5. 風險與備案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新品備貨風險：氛圍燈供應商交期 3 週，若延遲需以蠟燭系列為主打備案。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廣告成本上升：秋季旺季 CPM 預估上升 12%，需保留 10% 預算彈性。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天氣風險：連續降雨影響露營情境說服力，需備『居家露營風』替代素材。</w:t>
      </w:r>
    </w:p>
    <w:p>
      <w:pPr>
        <w:pStyle w:val="Heading1"/>
      </w:pPr>
      <w:r>
        <w:rPr>
          <w:rFonts w:ascii="Microsoft JhengHei" w:hAnsi="Microsoft JhengHei" w:eastAsia="Microsoft JhengHei"/>
          <w:color w:val="2F5D50"/>
        </w:rPr>
        <w:t>6. 成效衡量與回報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每週三提供成效週報（流量、轉換、ROAS、庫存）。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檔期結束後 5 個工作天內提交完整 QBR 回顧與下一檔建議。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