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2F5D50"/>
        </w:rPr>
        <w:t>Autumn Camping Season | Agency Campaign Brief (v0.9, pending client sign-off)</w:t>
      </w:r>
    </w:p>
    <w:p>
      <w:r>
        <w:rPr>
          <w:rFonts w:ascii="Calibri" w:hAnsi="Calibri" w:eastAsia="Calibri"/>
          <w:b w:val="0"/>
          <w:sz w:val="18"/>
        </w:rPr>
        <w:t>From: Photon Marketing Agency, PM Yanting Chen | To: MUYE Marketing, Siyu Lin | Length: full version, please summarize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1. Goals &amp; KPIs</w:t>
      </w:r>
    </w:p>
    <w:p>
      <w:pPr>
        <w:pStyle w:val="ListBullet"/>
      </w:pPr>
      <w:r>
        <w:rPr>
          <w:rFonts w:ascii="Calibri" w:hAnsi="Calibri" w:eastAsia="Calibri"/>
        </w:rPr>
        <w:t>Window: 2026/9/15-10/15, theme 'Autumn Camping Season', featuring the scented candle series, ambience lamp and bundle.</w:t>
      </w:r>
    </w:p>
    <w:p>
      <w:pPr>
        <w:pStyle w:val="ListBullet"/>
      </w:pPr>
      <w:r>
        <w:rPr>
          <w:rFonts w:ascii="Calibri" w:hAnsi="Calibri" w:eastAsia="Calibri"/>
        </w:rPr>
        <w:t>Revenue goal: NT$4.8M total, new products &gt;= 35%.</w:t>
      </w:r>
    </w:p>
    <w:p>
      <w:pPr>
        <w:pStyle w:val="ListBullet"/>
      </w:pPr>
      <w:r>
        <w:rPr>
          <w:rFonts w:ascii="Calibri" w:hAnsi="Calibri" w:eastAsia="Calibri"/>
        </w:rPr>
        <w:t>Traffic goal: 250K unique site visitors, EDM open rate &gt;= 28%, social engagement &gt;= 6%.</w:t>
      </w:r>
    </w:p>
    <w:p>
      <w:pPr>
        <w:pStyle w:val="ListBullet"/>
      </w:pPr>
      <w:r>
        <w:rPr>
          <w:rFonts w:ascii="Calibri" w:hAnsi="Calibri" w:eastAsia="Calibri"/>
        </w:rPr>
        <w:t>Member goal: +8,000 members, repurchase rate +5 pts.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2. Channel Split &amp;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Week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Focus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W1 (9/15-)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Teaser short video, KOL unboxing, first EDM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Agency + MUYE social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Site hero live, bundle push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MUYE ecom +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W3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Member-only bonus, pop-up store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MUYE CRM + retail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W4 (-10/15)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Final countdown, inventory clearance, wrap-up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All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2F5D50"/>
        </w:rPr>
        <w:t>3. Budget (ex-tax, NT$)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Amount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Digital ad spend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1,200,000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48%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KOL / short video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650,000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26%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Design &amp;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350,000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Pop-up &amp; gifts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300,000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</w:rPr>
              <w:t>12%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2F5D50"/>
        </w:rPr>
        <w:t>4. Decisions Needed from Client (MUYE)</w:t>
      </w:r>
    </w:p>
    <w:p>
      <w:pPr>
        <w:pStyle w:val="ListNumber"/>
      </w:pPr>
      <w:r>
        <w:rPr>
          <w:rFonts w:ascii="Calibri" w:hAnsi="Calibri" w:eastAsia="Calibri"/>
        </w:rPr>
        <w:t>Keep bundle at NT$1,880, or add a first-week flash price of NT$1,780? (affects margin and EDM copy)</w:t>
      </w:r>
    </w:p>
    <w:p>
      <w:pPr>
        <w:pStyle w:val="ListNumber"/>
      </w:pPr>
      <w:r>
        <w:rPr>
          <w:rFonts w:ascii="Calibri" w:hAnsi="Calibri" w:eastAsia="Calibri"/>
        </w:rPr>
        <w:t>Member bonus gift, pick one: fragrance travel set OR camping pouch; decide before 9/5 for sourcing.</w:t>
      </w:r>
    </w:p>
    <w:p>
      <w:pPr>
        <w:pStyle w:val="ListNumber"/>
      </w:pPr>
      <w:r>
        <w:rPr>
          <w:rFonts w:ascii="Calibri" w:hAnsi="Calibri" w:eastAsia="Calibri"/>
        </w:rPr>
        <w:t>Pop-up city: Taipei Xinyi vs Taichung Qinmei; pick one (rent and window differ).</w:t>
      </w:r>
    </w:p>
    <w:p>
      <w:pPr>
        <w:pStyle w:val="ListNumber"/>
      </w:pPr>
      <w:r>
        <w:rPr>
          <w:rFonts w:ascii="Calibri" w:hAnsi="Calibri" w:eastAsia="Calibri"/>
        </w:rPr>
        <w:t>Enable Claude/OpenAI-generated social copy drafts for internal review?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5. Risks &amp; Contingency</w:t>
      </w:r>
    </w:p>
    <w:p>
      <w:pPr>
        <w:pStyle w:val="ListBullet"/>
      </w:pPr>
      <w:r>
        <w:rPr>
          <w:rFonts w:ascii="Calibri" w:hAnsi="Calibri" w:eastAsia="Calibri"/>
        </w:rPr>
        <w:t>Stock risk: lamp supplier lead time is 3 weeks; if delayed, fall back to candle series as hero.</w:t>
      </w:r>
    </w:p>
    <w:p>
      <w:pPr>
        <w:pStyle w:val="ListBullet"/>
      </w:pPr>
      <w:r>
        <w:rPr>
          <w:rFonts w:ascii="Calibri" w:hAnsi="Calibri" w:eastAsia="Calibri"/>
        </w:rPr>
        <w:t>Rising ad cost: peak-season CPM expected +12%; keep 10% budget flexibility.</w:t>
      </w:r>
    </w:p>
    <w:p>
      <w:pPr>
        <w:pStyle w:val="ListBullet"/>
      </w:pPr>
      <w:r>
        <w:rPr>
          <w:rFonts w:ascii="Calibri" w:hAnsi="Calibri" w:eastAsia="Calibri"/>
        </w:rPr>
        <w:t>Weather risk: prolonged rain weakens camping scenes; prepare 'home camping' alternative assets.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6. Measurement &amp; Reporting</w:t>
      </w:r>
    </w:p>
    <w:p>
      <w:pPr>
        <w:pStyle w:val="ListBullet"/>
      </w:pPr>
      <w:r>
        <w:rPr>
          <w:rFonts w:ascii="Calibri" w:hAnsi="Calibri" w:eastAsia="Calibri"/>
        </w:rPr>
        <w:t>Weekly performance report every Wednesday (traffic, conversion, ROAS, inventory).</w:t>
      </w:r>
    </w:p>
    <w:p>
      <w:pPr>
        <w:pStyle w:val="ListBullet"/>
      </w:pPr>
      <w:r>
        <w:rPr>
          <w:rFonts w:ascii="Calibri" w:hAnsi="Calibri" w:eastAsia="Calibri"/>
        </w:rPr>
        <w:t>Full QBR review and next-season recommendation within 5 business days after the season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